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w:t>
            </w:r>
            <w:r w:rsidR="00387DF6">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387DF6">
              <w:rPr>
                <w:rFonts w:ascii="Arial" w:hAnsi="Arial" w:cs="Arial"/>
                <w:sz w:val="20"/>
                <w:szCs w:val="20"/>
              </w:rPr>
              <w:t>04</w:t>
            </w:r>
            <w:r w:rsidR="00EA1B2B">
              <w:rPr>
                <w:rFonts w:ascii="Arial" w:hAnsi="Arial" w:cs="Arial"/>
                <w:sz w:val="20"/>
                <w:szCs w:val="20"/>
              </w:rPr>
              <w:t>.</w:t>
            </w:r>
            <w:r w:rsidR="00387DF6">
              <w:rPr>
                <w:rFonts w:ascii="Arial" w:hAnsi="Arial" w:cs="Arial"/>
                <w:sz w:val="20"/>
                <w:szCs w:val="20"/>
              </w:rPr>
              <w:t>10</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582AB9" w:rsidP="00D67F48">
      <w:pPr>
        <w:pStyle w:val="1"/>
        <w:spacing w:before="0" w:after="0"/>
        <w:jc w:val="center"/>
        <w:rPr>
          <w:rFonts w:ascii="Arial" w:hAnsi="Arial" w:cs="Arial"/>
          <w:sz w:val="16"/>
          <w:szCs w:val="16"/>
        </w:rPr>
      </w:pPr>
      <w:r>
        <w:rPr>
          <w:rFonts w:ascii="Arial" w:hAnsi="Arial" w:cs="Arial"/>
          <w:sz w:val="16"/>
          <w:szCs w:val="16"/>
        </w:rPr>
        <w:t>АДМИНИСТРАЦИЯ</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582AB9" w:rsidP="00D67F48">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582AB9">
        <w:rPr>
          <w:rFonts w:ascii="Arial" w:hAnsi="Arial" w:cs="Arial"/>
          <w:color w:val="000000"/>
          <w:sz w:val="16"/>
          <w:szCs w:val="16"/>
        </w:rPr>
        <w:t>03</w:t>
      </w:r>
      <w:r w:rsidRPr="00532C61">
        <w:rPr>
          <w:rFonts w:ascii="Arial" w:hAnsi="Arial" w:cs="Arial"/>
          <w:color w:val="000000"/>
          <w:sz w:val="16"/>
          <w:szCs w:val="16"/>
        </w:rPr>
        <w:t>.</w:t>
      </w:r>
      <w:r w:rsidR="00582AB9">
        <w:rPr>
          <w:rFonts w:ascii="Arial" w:hAnsi="Arial" w:cs="Arial"/>
          <w:color w:val="000000"/>
          <w:sz w:val="16"/>
          <w:szCs w:val="16"/>
        </w:rPr>
        <w:t>10</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881F44">
        <w:rPr>
          <w:rFonts w:ascii="Arial" w:hAnsi="Arial" w:cs="Arial"/>
          <w:color w:val="000000"/>
          <w:sz w:val="16"/>
          <w:szCs w:val="16"/>
        </w:rPr>
        <w:t>1</w:t>
      </w:r>
      <w:r w:rsidR="00582AB9">
        <w:rPr>
          <w:rFonts w:ascii="Arial" w:hAnsi="Arial" w:cs="Arial"/>
          <w:color w:val="000000"/>
          <w:sz w:val="16"/>
          <w:szCs w:val="16"/>
        </w:rPr>
        <w:t>26</w:t>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1F3FD0" w:rsidRPr="001F3FD0" w:rsidRDefault="001F3FD0" w:rsidP="001F3FD0">
      <w:pPr>
        <w:jc w:val="center"/>
        <w:rPr>
          <w:rFonts w:ascii="Arial" w:hAnsi="Arial" w:cs="Arial"/>
          <w:b/>
          <w:sz w:val="16"/>
          <w:szCs w:val="16"/>
        </w:rPr>
      </w:pPr>
      <w:r w:rsidRPr="001F3FD0">
        <w:rPr>
          <w:rFonts w:ascii="Arial" w:hAnsi="Arial" w:cs="Arial"/>
          <w:b/>
          <w:sz w:val="16"/>
          <w:szCs w:val="16"/>
        </w:rPr>
        <w:t>Об утверждении Отчета об исполнении местного бюджета (бюджета Новосельского сельского поселения Новокубанского района) за 9 месяцев 2022 года</w:t>
      </w:r>
    </w:p>
    <w:p w:rsidR="001F3FD0" w:rsidRPr="001F3FD0" w:rsidRDefault="001F3FD0" w:rsidP="001F3FD0">
      <w:pPr>
        <w:rPr>
          <w:rFonts w:ascii="Arial" w:hAnsi="Arial" w:cs="Arial"/>
          <w:sz w:val="16"/>
          <w:szCs w:val="16"/>
        </w:rPr>
      </w:pPr>
    </w:p>
    <w:p w:rsidR="001F3FD0" w:rsidRPr="001F3FD0" w:rsidRDefault="001F3FD0" w:rsidP="001F3FD0">
      <w:pPr>
        <w:rPr>
          <w:rFonts w:ascii="Arial" w:hAnsi="Arial" w:cs="Arial"/>
          <w:sz w:val="16"/>
          <w:szCs w:val="16"/>
        </w:rPr>
      </w:pPr>
    </w:p>
    <w:p w:rsidR="001F3FD0" w:rsidRPr="001F3FD0" w:rsidRDefault="001F3FD0" w:rsidP="001F3FD0">
      <w:pPr>
        <w:pStyle w:val="2c"/>
        <w:shd w:val="clear" w:color="auto" w:fill="auto"/>
        <w:spacing w:before="0" w:line="240" w:lineRule="auto"/>
        <w:ind w:left="80" w:right="40" w:firstLine="680"/>
        <w:rPr>
          <w:rFonts w:ascii="Arial" w:hAnsi="Arial" w:cs="Arial"/>
          <w:sz w:val="16"/>
          <w:szCs w:val="16"/>
        </w:rPr>
      </w:pPr>
      <w:r w:rsidRPr="001F3FD0">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9 месяцев 2022 года, </w:t>
      </w:r>
      <w:r w:rsidRPr="001F3FD0">
        <w:rPr>
          <w:rStyle w:val="3pt"/>
          <w:rFonts w:ascii="Arial" w:hAnsi="Arial" w:cs="Arial"/>
          <w:sz w:val="16"/>
          <w:szCs w:val="16"/>
        </w:rPr>
        <w:t>постановляю:</w:t>
      </w:r>
    </w:p>
    <w:p w:rsidR="001F3FD0" w:rsidRPr="001F3FD0" w:rsidRDefault="001F3FD0" w:rsidP="001F3FD0">
      <w:pPr>
        <w:pStyle w:val="2c"/>
        <w:numPr>
          <w:ilvl w:val="0"/>
          <w:numId w:val="11"/>
        </w:numPr>
        <w:shd w:val="clear" w:color="auto" w:fill="auto"/>
        <w:tabs>
          <w:tab w:val="left" w:pos="1251"/>
        </w:tabs>
        <w:spacing w:before="0" w:line="240" w:lineRule="auto"/>
        <w:ind w:left="80" w:right="40" w:firstLine="680"/>
        <w:rPr>
          <w:rFonts w:ascii="Arial" w:hAnsi="Arial" w:cs="Arial"/>
          <w:sz w:val="16"/>
          <w:szCs w:val="16"/>
        </w:rPr>
      </w:pPr>
      <w:r w:rsidRPr="001F3FD0">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9 месяцев 2022 года по доходам в сумме 21671,3 тысяч рублей (двадцать один миллион шестьсот семьдесят одна тысяча триста рублей), по расходам 25483,4 тысяч рублей (двадцать пять миллионов четыреста восемьдесят три тысячи четыреста рублей) согласно приложению № 1.</w:t>
      </w:r>
    </w:p>
    <w:p w:rsidR="001F3FD0" w:rsidRPr="001F3FD0" w:rsidRDefault="001F3FD0" w:rsidP="001F3FD0">
      <w:pPr>
        <w:pStyle w:val="2c"/>
        <w:numPr>
          <w:ilvl w:val="0"/>
          <w:numId w:val="11"/>
        </w:numPr>
        <w:shd w:val="clear" w:color="auto" w:fill="auto"/>
        <w:tabs>
          <w:tab w:val="left" w:pos="1261"/>
        </w:tabs>
        <w:spacing w:before="0" w:line="240" w:lineRule="auto"/>
        <w:ind w:left="80" w:right="40" w:firstLine="680"/>
        <w:rPr>
          <w:rFonts w:ascii="Arial" w:hAnsi="Arial" w:cs="Arial"/>
          <w:sz w:val="16"/>
          <w:szCs w:val="16"/>
        </w:rPr>
      </w:pPr>
      <w:r w:rsidRPr="001F3FD0">
        <w:rPr>
          <w:rFonts w:ascii="Arial" w:hAnsi="Arial" w:cs="Arial"/>
          <w:color w:val="000000"/>
          <w:sz w:val="16"/>
          <w:szCs w:val="16"/>
        </w:rPr>
        <w:t>Утвердить отчет об использовании средств резервного фонда Новосельского сельского поселения за 9 месяцев 2022 года согласно приложению № 2.</w:t>
      </w:r>
    </w:p>
    <w:p w:rsidR="001F3FD0" w:rsidRPr="001F3FD0" w:rsidRDefault="001F3FD0" w:rsidP="001F3FD0">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r w:rsidRPr="001F3FD0">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9 месяцев 2022 года направить в Совет Новосельского сельского поселения Новокубанского района.</w:t>
      </w:r>
    </w:p>
    <w:p w:rsidR="001F3FD0" w:rsidRPr="001F3FD0" w:rsidRDefault="001F3FD0" w:rsidP="001F3FD0">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proofErr w:type="gramStart"/>
      <w:r w:rsidRPr="001F3FD0">
        <w:rPr>
          <w:rFonts w:ascii="Arial" w:hAnsi="Arial" w:cs="Arial"/>
          <w:color w:val="000000"/>
          <w:sz w:val="16"/>
          <w:szCs w:val="16"/>
        </w:rPr>
        <w:t>Контроль за</w:t>
      </w:r>
      <w:proofErr w:type="gramEnd"/>
      <w:r w:rsidRPr="001F3FD0">
        <w:rPr>
          <w:rFonts w:ascii="Arial" w:hAnsi="Arial" w:cs="Arial"/>
          <w:color w:val="000000"/>
          <w:sz w:val="16"/>
          <w:szCs w:val="16"/>
        </w:rPr>
        <w:t xml:space="preserve"> исполнением настоящего постановления оставляю за собой.</w:t>
      </w:r>
    </w:p>
    <w:p w:rsidR="001F3FD0" w:rsidRPr="001F3FD0" w:rsidRDefault="001F3FD0" w:rsidP="001F3FD0">
      <w:pPr>
        <w:pStyle w:val="2c"/>
        <w:numPr>
          <w:ilvl w:val="0"/>
          <w:numId w:val="11"/>
        </w:numPr>
        <w:shd w:val="clear" w:color="auto" w:fill="auto"/>
        <w:tabs>
          <w:tab w:val="left" w:pos="1218"/>
        </w:tabs>
        <w:spacing w:before="0" w:line="240" w:lineRule="auto"/>
        <w:ind w:left="80" w:right="40" w:firstLine="680"/>
        <w:rPr>
          <w:rFonts w:ascii="Arial" w:hAnsi="Arial" w:cs="Arial"/>
          <w:sz w:val="16"/>
          <w:szCs w:val="16"/>
        </w:rPr>
      </w:pPr>
      <w:r w:rsidRPr="001F3FD0">
        <w:rPr>
          <w:rFonts w:ascii="Arial" w:hAnsi="Arial" w:cs="Arial"/>
          <w:sz w:val="16"/>
          <w:szCs w:val="16"/>
        </w:rPr>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1F3FD0">
        <w:rPr>
          <w:rFonts w:ascii="Arial" w:hAnsi="Arial" w:cs="Arial"/>
          <w:color w:val="000000"/>
          <w:sz w:val="16"/>
          <w:szCs w:val="16"/>
        </w:rPr>
        <w:t>.</w:t>
      </w:r>
    </w:p>
    <w:p w:rsidR="001F3FD0" w:rsidRPr="001F3FD0" w:rsidRDefault="001F3FD0" w:rsidP="001F3FD0">
      <w:pPr>
        <w:ind w:left="-78" w:firstLine="798"/>
        <w:jc w:val="both"/>
        <w:rPr>
          <w:rFonts w:ascii="Arial" w:hAnsi="Arial" w:cs="Arial"/>
          <w:sz w:val="16"/>
          <w:szCs w:val="16"/>
        </w:rPr>
      </w:pPr>
    </w:p>
    <w:p w:rsidR="001F3FD0" w:rsidRPr="001F3FD0" w:rsidRDefault="001F3FD0" w:rsidP="001F3FD0">
      <w:pPr>
        <w:ind w:left="-78" w:firstLine="798"/>
        <w:jc w:val="both"/>
        <w:rPr>
          <w:rFonts w:ascii="Arial" w:hAnsi="Arial" w:cs="Arial"/>
          <w:sz w:val="16"/>
          <w:szCs w:val="16"/>
        </w:rPr>
      </w:pPr>
    </w:p>
    <w:p w:rsidR="001F3FD0" w:rsidRPr="001F3FD0" w:rsidRDefault="001F3FD0" w:rsidP="001F3FD0">
      <w:pPr>
        <w:ind w:left="-78" w:firstLine="798"/>
        <w:jc w:val="both"/>
        <w:rPr>
          <w:rFonts w:ascii="Arial" w:hAnsi="Arial" w:cs="Arial"/>
          <w:sz w:val="16"/>
          <w:szCs w:val="16"/>
        </w:rPr>
      </w:pPr>
    </w:p>
    <w:p w:rsidR="001F3FD0" w:rsidRPr="001F3FD0" w:rsidRDefault="001F3FD0" w:rsidP="001F3FD0">
      <w:pPr>
        <w:rPr>
          <w:rFonts w:ascii="Arial" w:hAnsi="Arial" w:cs="Arial"/>
          <w:sz w:val="16"/>
          <w:szCs w:val="16"/>
        </w:rPr>
      </w:pPr>
      <w:r w:rsidRPr="001F3FD0">
        <w:rPr>
          <w:rFonts w:ascii="Arial" w:hAnsi="Arial" w:cs="Arial"/>
          <w:sz w:val="16"/>
          <w:szCs w:val="16"/>
        </w:rPr>
        <w:t xml:space="preserve">Глава Новосельского сельского поселения </w:t>
      </w:r>
    </w:p>
    <w:p w:rsidR="001F3FD0" w:rsidRDefault="001F3FD0" w:rsidP="001F3FD0">
      <w:pPr>
        <w:rPr>
          <w:rFonts w:ascii="Arial" w:hAnsi="Arial" w:cs="Arial"/>
          <w:sz w:val="16"/>
          <w:szCs w:val="16"/>
        </w:rPr>
      </w:pPr>
      <w:r w:rsidRPr="001F3FD0">
        <w:rPr>
          <w:rFonts w:ascii="Arial" w:hAnsi="Arial" w:cs="Arial"/>
          <w:sz w:val="16"/>
          <w:szCs w:val="16"/>
        </w:rPr>
        <w:t>Новокубанского района</w:t>
      </w:r>
    </w:p>
    <w:p w:rsidR="001F3FD0" w:rsidRDefault="001F3FD0" w:rsidP="001F3FD0">
      <w:pPr>
        <w:rPr>
          <w:rFonts w:ascii="Arial" w:hAnsi="Arial" w:cs="Arial"/>
          <w:sz w:val="16"/>
          <w:szCs w:val="16"/>
        </w:rPr>
      </w:pPr>
      <w:r w:rsidRPr="001F3FD0">
        <w:rPr>
          <w:rFonts w:ascii="Arial" w:hAnsi="Arial" w:cs="Arial"/>
          <w:sz w:val="16"/>
          <w:szCs w:val="16"/>
        </w:rPr>
        <w:t>А.Е.Колесников</w:t>
      </w:r>
    </w:p>
    <w:p w:rsidR="001F3FD0" w:rsidRDefault="001F3FD0" w:rsidP="001F3FD0">
      <w:pPr>
        <w:rPr>
          <w:rFonts w:ascii="Arial" w:hAnsi="Arial" w:cs="Arial"/>
          <w:sz w:val="16"/>
          <w:szCs w:val="16"/>
        </w:rPr>
      </w:pPr>
    </w:p>
    <w:p w:rsidR="001F3FD0" w:rsidRDefault="001F3FD0" w:rsidP="001F3FD0">
      <w:pPr>
        <w:rPr>
          <w:rFonts w:ascii="Arial" w:hAnsi="Arial" w:cs="Arial"/>
          <w:sz w:val="16"/>
          <w:szCs w:val="16"/>
        </w:rPr>
      </w:pPr>
    </w:p>
    <w:p w:rsidR="001F3FD0" w:rsidRDefault="001F3FD0" w:rsidP="001F3FD0">
      <w:pPr>
        <w:rPr>
          <w:rFonts w:ascii="Arial" w:hAnsi="Arial" w:cs="Arial"/>
          <w:sz w:val="16"/>
          <w:szCs w:val="16"/>
        </w:rPr>
      </w:pPr>
    </w:p>
    <w:tbl>
      <w:tblPr>
        <w:tblW w:w="9660" w:type="dxa"/>
        <w:tblInd w:w="88" w:type="dxa"/>
        <w:tblLayout w:type="fixed"/>
        <w:tblLook w:val="04A0"/>
      </w:tblPr>
      <w:tblGrid>
        <w:gridCol w:w="2147"/>
        <w:gridCol w:w="3685"/>
        <w:gridCol w:w="993"/>
        <w:gridCol w:w="992"/>
        <w:gridCol w:w="992"/>
        <w:gridCol w:w="851"/>
      </w:tblGrid>
      <w:tr w:rsidR="001F3FD0" w:rsidRPr="001F3FD0" w:rsidTr="001F3FD0">
        <w:trPr>
          <w:trHeight w:val="375"/>
        </w:trPr>
        <w:tc>
          <w:tcPr>
            <w:tcW w:w="9660" w:type="dxa"/>
            <w:gridSpan w:val="6"/>
            <w:vMerge w:val="restart"/>
            <w:tcBorders>
              <w:top w:val="nil"/>
              <w:left w:val="nil"/>
              <w:bottom w:val="nil"/>
              <w:right w:val="nil"/>
            </w:tcBorders>
            <w:shd w:val="clear" w:color="auto" w:fill="auto"/>
            <w:vAlign w:val="center"/>
            <w:hideMark/>
          </w:tcPr>
          <w:p w:rsidR="001F3FD0" w:rsidRPr="001F3FD0" w:rsidRDefault="001F3FD0" w:rsidP="001F3FD0">
            <w:pPr>
              <w:ind w:left="-88"/>
              <w:rPr>
                <w:rFonts w:ascii="Arial" w:hAnsi="Arial" w:cs="Arial"/>
                <w:bCs/>
                <w:color w:val="000000"/>
                <w:sz w:val="16"/>
                <w:szCs w:val="16"/>
              </w:rPr>
            </w:pPr>
            <w:r w:rsidRPr="001F3FD0">
              <w:rPr>
                <w:rFonts w:ascii="Arial" w:hAnsi="Arial" w:cs="Arial"/>
                <w:bCs/>
                <w:color w:val="000000"/>
                <w:sz w:val="16"/>
                <w:szCs w:val="16"/>
              </w:rPr>
              <w:t>Приложение № 1</w:t>
            </w:r>
          </w:p>
          <w:p w:rsidR="001F3FD0" w:rsidRDefault="001F3FD0" w:rsidP="001F3FD0">
            <w:pPr>
              <w:ind w:left="-88"/>
              <w:jc w:val="both"/>
              <w:rPr>
                <w:rFonts w:ascii="Arial" w:hAnsi="Arial" w:cs="Arial"/>
                <w:bCs/>
                <w:color w:val="000000"/>
                <w:sz w:val="16"/>
                <w:szCs w:val="16"/>
              </w:rPr>
            </w:pPr>
            <w:r w:rsidRPr="001F3FD0">
              <w:rPr>
                <w:rFonts w:ascii="Arial" w:hAnsi="Arial" w:cs="Arial"/>
                <w:bCs/>
                <w:color w:val="000000"/>
                <w:sz w:val="16"/>
                <w:szCs w:val="16"/>
              </w:rPr>
              <w:t xml:space="preserve">к постановлению администрации </w:t>
            </w:r>
          </w:p>
          <w:p w:rsidR="001F3FD0" w:rsidRDefault="001F3FD0" w:rsidP="001F3FD0">
            <w:pPr>
              <w:ind w:left="-88"/>
              <w:jc w:val="both"/>
              <w:rPr>
                <w:rFonts w:ascii="Arial" w:hAnsi="Arial" w:cs="Arial"/>
                <w:bCs/>
                <w:color w:val="000000"/>
                <w:sz w:val="16"/>
                <w:szCs w:val="16"/>
              </w:rPr>
            </w:pPr>
            <w:r w:rsidRPr="001F3FD0">
              <w:rPr>
                <w:rFonts w:ascii="Arial" w:hAnsi="Arial" w:cs="Arial"/>
                <w:bCs/>
                <w:color w:val="000000"/>
                <w:sz w:val="16"/>
                <w:szCs w:val="16"/>
              </w:rPr>
              <w:t xml:space="preserve">Новосельского сельского поселения </w:t>
            </w:r>
          </w:p>
          <w:p w:rsidR="001F3FD0" w:rsidRPr="001F3FD0" w:rsidRDefault="001F3FD0" w:rsidP="001F3FD0">
            <w:pPr>
              <w:ind w:left="-88"/>
              <w:jc w:val="both"/>
              <w:rPr>
                <w:rFonts w:ascii="Arial" w:hAnsi="Arial" w:cs="Arial"/>
                <w:bCs/>
                <w:color w:val="000000"/>
                <w:sz w:val="16"/>
                <w:szCs w:val="16"/>
              </w:rPr>
            </w:pPr>
            <w:r w:rsidRPr="001F3FD0">
              <w:rPr>
                <w:rFonts w:ascii="Arial" w:hAnsi="Arial" w:cs="Arial"/>
                <w:bCs/>
                <w:color w:val="000000"/>
                <w:sz w:val="16"/>
                <w:szCs w:val="16"/>
              </w:rPr>
              <w:t xml:space="preserve">Новокубанского района </w:t>
            </w:r>
          </w:p>
          <w:p w:rsidR="001F3FD0" w:rsidRPr="001F3FD0" w:rsidRDefault="001F3FD0" w:rsidP="001F3FD0">
            <w:pPr>
              <w:ind w:left="-88"/>
              <w:jc w:val="both"/>
              <w:rPr>
                <w:rFonts w:ascii="Arial" w:hAnsi="Arial" w:cs="Arial"/>
                <w:bCs/>
                <w:color w:val="000000"/>
                <w:sz w:val="16"/>
                <w:szCs w:val="16"/>
              </w:rPr>
            </w:pPr>
            <w:r w:rsidRPr="001F3FD0">
              <w:rPr>
                <w:rFonts w:ascii="Arial" w:hAnsi="Arial" w:cs="Arial"/>
                <w:bCs/>
                <w:color w:val="000000"/>
                <w:sz w:val="16"/>
                <w:szCs w:val="16"/>
              </w:rPr>
              <w:t xml:space="preserve">от </w:t>
            </w:r>
            <w:r>
              <w:rPr>
                <w:rFonts w:ascii="Arial" w:hAnsi="Arial" w:cs="Arial"/>
                <w:bCs/>
                <w:color w:val="000000"/>
                <w:sz w:val="16"/>
                <w:szCs w:val="16"/>
              </w:rPr>
              <w:t>03.10.2022 г.</w:t>
            </w:r>
            <w:r w:rsidRPr="001F3FD0">
              <w:rPr>
                <w:rFonts w:ascii="Arial" w:hAnsi="Arial" w:cs="Arial"/>
                <w:bCs/>
                <w:color w:val="000000"/>
                <w:sz w:val="16"/>
                <w:szCs w:val="16"/>
              </w:rPr>
              <w:t xml:space="preserve"> № </w:t>
            </w:r>
            <w:r>
              <w:rPr>
                <w:rFonts w:ascii="Arial" w:hAnsi="Arial" w:cs="Arial"/>
                <w:bCs/>
                <w:color w:val="000000"/>
                <w:sz w:val="16"/>
                <w:szCs w:val="16"/>
              </w:rPr>
              <w:t>126</w:t>
            </w:r>
          </w:p>
          <w:p w:rsidR="001F3FD0" w:rsidRPr="001F3FD0" w:rsidRDefault="001F3FD0" w:rsidP="001F3FD0">
            <w:pPr>
              <w:ind w:left="-88"/>
              <w:rPr>
                <w:rFonts w:ascii="Arial" w:hAnsi="Arial" w:cs="Arial"/>
                <w:bCs/>
                <w:color w:val="000000"/>
                <w:sz w:val="16"/>
                <w:szCs w:val="16"/>
              </w:rPr>
            </w:pPr>
          </w:p>
          <w:p w:rsidR="001F3FD0" w:rsidRPr="001F3FD0" w:rsidRDefault="001F3FD0" w:rsidP="001F3FD0">
            <w:pPr>
              <w:ind w:left="-88"/>
              <w:rPr>
                <w:rFonts w:ascii="Arial" w:hAnsi="Arial" w:cs="Arial"/>
                <w:bCs/>
                <w:color w:val="000000"/>
                <w:sz w:val="16"/>
                <w:szCs w:val="16"/>
              </w:rPr>
            </w:pPr>
          </w:p>
          <w:p w:rsidR="001F3FD0" w:rsidRPr="001F3FD0" w:rsidRDefault="001F3FD0" w:rsidP="001F3FD0">
            <w:pPr>
              <w:ind w:left="-88"/>
              <w:jc w:val="center"/>
              <w:rPr>
                <w:rFonts w:ascii="Arial" w:hAnsi="Arial" w:cs="Arial"/>
                <w:b/>
                <w:bCs/>
                <w:color w:val="000000"/>
                <w:sz w:val="16"/>
                <w:szCs w:val="16"/>
              </w:rPr>
            </w:pPr>
            <w:r w:rsidRPr="001F3FD0">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за </w:t>
            </w:r>
            <w:r w:rsidRPr="001F3FD0">
              <w:rPr>
                <w:rFonts w:ascii="Arial" w:hAnsi="Arial" w:cs="Arial"/>
                <w:b/>
                <w:color w:val="000000"/>
                <w:sz w:val="16"/>
                <w:szCs w:val="16"/>
              </w:rPr>
              <w:t>9 месяцев</w:t>
            </w:r>
            <w:r w:rsidRPr="001F3FD0">
              <w:rPr>
                <w:rFonts w:ascii="Arial" w:hAnsi="Arial" w:cs="Arial"/>
                <w:color w:val="000000"/>
                <w:sz w:val="16"/>
                <w:szCs w:val="16"/>
              </w:rPr>
              <w:t xml:space="preserve"> </w:t>
            </w:r>
            <w:r w:rsidRPr="001F3FD0">
              <w:rPr>
                <w:rFonts w:ascii="Arial" w:hAnsi="Arial" w:cs="Arial"/>
                <w:b/>
                <w:bCs/>
                <w:color w:val="000000"/>
                <w:sz w:val="16"/>
                <w:szCs w:val="16"/>
              </w:rPr>
              <w:t>2022 года</w:t>
            </w:r>
          </w:p>
          <w:p w:rsidR="001F3FD0" w:rsidRPr="001F3FD0" w:rsidRDefault="001F3FD0" w:rsidP="001F3FD0">
            <w:pPr>
              <w:ind w:left="-88"/>
              <w:jc w:val="center"/>
              <w:rPr>
                <w:rFonts w:ascii="Arial" w:hAnsi="Arial" w:cs="Arial"/>
                <w:bCs/>
                <w:color w:val="000000"/>
                <w:sz w:val="16"/>
                <w:szCs w:val="16"/>
              </w:rPr>
            </w:pPr>
          </w:p>
          <w:p w:rsidR="001F3FD0" w:rsidRPr="001F3FD0" w:rsidRDefault="001F3FD0" w:rsidP="001F3FD0">
            <w:pPr>
              <w:ind w:left="-88"/>
              <w:jc w:val="right"/>
              <w:rPr>
                <w:rFonts w:ascii="Arial" w:hAnsi="Arial" w:cs="Arial"/>
                <w:bCs/>
                <w:color w:val="000000"/>
                <w:sz w:val="16"/>
                <w:szCs w:val="16"/>
              </w:rPr>
            </w:pPr>
            <w:r w:rsidRPr="001F3FD0">
              <w:rPr>
                <w:rFonts w:ascii="Arial" w:hAnsi="Arial" w:cs="Arial"/>
                <w:bCs/>
                <w:color w:val="000000"/>
                <w:sz w:val="16"/>
                <w:szCs w:val="16"/>
              </w:rPr>
              <w:t>тысяч рублей</w:t>
            </w:r>
          </w:p>
        </w:tc>
      </w:tr>
      <w:tr w:rsidR="001F3FD0" w:rsidRPr="001F3FD0" w:rsidTr="001F3FD0">
        <w:trPr>
          <w:trHeight w:val="322"/>
        </w:trPr>
        <w:tc>
          <w:tcPr>
            <w:tcW w:w="9660" w:type="dxa"/>
            <w:gridSpan w:val="6"/>
            <w:vMerge/>
            <w:tcBorders>
              <w:top w:val="nil"/>
              <w:left w:val="nil"/>
              <w:bottom w:val="nil"/>
              <w:right w:val="nil"/>
            </w:tcBorders>
            <w:vAlign w:val="center"/>
            <w:hideMark/>
          </w:tcPr>
          <w:p w:rsidR="001F3FD0" w:rsidRPr="001F3FD0" w:rsidRDefault="001F3FD0" w:rsidP="001F3FD0">
            <w:pPr>
              <w:ind w:left="-88"/>
              <w:rPr>
                <w:rFonts w:ascii="Arial" w:hAnsi="Arial" w:cs="Arial"/>
                <w:bCs/>
                <w:color w:val="000000"/>
                <w:sz w:val="16"/>
                <w:szCs w:val="16"/>
              </w:rPr>
            </w:pPr>
          </w:p>
        </w:tc>
      </w:tr>
      <w:tr w:rsidR="001F3FD0" w:rsidRPr="001F3FD0" w:rsidTr="001F3FD0">
        <w:trPr>
          <w:trHeight w:val="322"/>
        </w:trPr>
        <w:tc>
          <w:tcPr>
            <w:tcW w:w="9660" w:type="dxa"/>
            <w:gridSpan w:val="6"/>
            <w:vMerge/>
            <w:tcBorders>
              <w:top w:val="nil"/>
              <w:left w:val="nil"/>
              <w:bottom w:val="nil"/>
              <w:right w:val="nil"/>
            </w:tcBorders>
            <w:vAlign w:val="center"/>
            <w:hideMark/>
          </w:tcPr>
          <w:p w:rsidR="001F3FD0" w:rsidRPr="001F3FD0" w:rsidRDefault="001F3FD0" w:rsidP="001F3FD0">
            <w:pPr>
              <w:ind w:left="-88"/>
              <w:rPr>
                <w:rFonts w:ascii="Arial" w:hAnsi="Arial" w:cs="Arial"/>
                <w:bCs/>
                <w:color w:val="000000"/>
                <w:sz w:val="16"/>
                <w:szCs w:val="16"/>
              </w:rPr>
            </w:pPr>
          </w:p>
        </w:tc>
      </w:tr>
      <w:tr w:rsidR="001F3FD0" w:rsidRPr="001F3FD0" w:rsidTr="001F3FD0">
        <w:trPr>
          <w:trHeight w:val="322"/>
        </w:trPr>
        <w:tc>
          <w:tcPr>
            <w:tcW w:w="9660" w:type="dxa"/>
            <w:gridSpan w:val="6"/>
            <w:vMerge/>
            <w:tcBorders>
              <w:top w:val="nil"/>
              <w:left w:val="nil"/>
              <w:bottom w:val="nil"/>
              <w:right w:val="nil"/>
            </w:tcBorders>
            <w:vAlign w:val="center"/>
            <w:hideMark/>
          </w:tcPr>
          <w:p w:rsidR="001F3FD0" w:rsidRPr="001F3FD0" w:rsidRDefault="001F3FD0" w:rsidP="001F3FD0">
            <w:pPr>
              <w:ind w:left="-88"/>
              <w:rPr>
                <w:rFonts w:ascii="Arial" w:hAnsi="Arial" w:cs="Arial"/>
                <w:bCs/>
                <w:color w:val="000000"/>
                <w:sz w:val="16"/>
                <w:szCs w:val="16"/>
              </w:rPr>
            </w:pPr>
          </w:p>
        </w:tc>
      </w:tr>
      <w:tr w:rsidR="001F3FD0" w:rsidRPr="001F3FD0" w:rsidTr="001F3FD0">
        <w:trPr>
          <w:trHeight w:val="322"/>
        </w:trPr>
        <w:tc>
          <w:tcPr>
            <w:tcW w:w="2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Код бюджетной классификации</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Наименование показателей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Назначено 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Кассовое исполнение с начала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Неисполненные назначения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 исполнения</w:t>
            </w:r>
          </w:p>
        </w:tc>
      </w:tr>
      <w:tr w:rsidR="001F3FD0" w:rsidRPr="001F3FD0" w:rsidTr="001F3FD0">
        <w:trPr>
          <w:trHeight w:val="322"/>
        </w:trPr>
        <w:tc>
          <w:tcPr>
            <w:tcW w:w="2147" w:type="dxa"/>
            <w:vMerge/>
            <w:tcBorders>
              <w:top w:val="single" w:sz="4" w:space="0" w:color="auto"/>
              <w:left w:val="single" w:sz="4" w:space="0" w:color="auto"/>
              <w:bottom w:val="single" w:sz="4" w:space="0" w:color="000000"/>
              <w:right w:val="single" w:sz="4" w:space="0" w:color="auto"/>
            </w:tcBorders>
            <w:vAlign w:val="center"/>
            <w:hideMark/>
          </w:tcPr>
          <w:p w:rsidR="001F3FD0" w:rsidRPr="001F3FD0" w:rsidRDefault="001F3FD0" w:rsidP="001F3FD0">
            <w:pPr>
              <w:ind w:left="-88"/>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F3FD0" w:rsidRPr="001F3FD0" w:rsidRDefault="001F3FD0" w:rsidP="001F3FD0">
            <w:pPr>
              <w:ind w:left="-88"/>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3FD0" w:rsidRPr="001F3FD0" w:rsidRDefault="001F3FD0" w:rsidP="001F3FD0">
            <w:pPr>
              <w:ind w:left="-88"/>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3FD0" w:rsidRPr="001F3FD0" w:rsidRDefault="001F3FD0" w:rsidP="001F3FD0">
            <w:pPr>
              <w:ind w:left="-88"/>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3FD0" w:rsidRPr="001F3FD0" w:rsidRDefault="001F3FD0" w:rsidP="001F3FD0">
            <w:pPr>
              <w:ind w:left="-88"/>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3FD0" w:rsidRPr="001F3FD0" w:rsidRDefault="001F3FD0" w:rsidP="001F3FD0">
            <w:pPr>
              <w:ind w:left="-88"/>
              <w:rPr>
                <w:rFonts w:ascii="Arial" w:hAnsi="Arial" w:cs="Arial"/>
                <w:sz w:val="16"/>
                <w:szCs w:val="16"/>
              </w:rPr>
            </w:pP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w:t>
            </w:r>
          </w:p>
        </w:tc>
        <w:tc>
          <w:tcPr>
            <w:tcW w:w="3685" w:type="dxa"/>
            <w:tcBorders>
              <w:top w:val="nil"/>
              <w:left w:val="nil"/>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w:t>
            </w:r>
          </w:p>
        </w:tc>
        <w:tc>
          <w:tcPr>
            <w:tcW w:w="993" w:type="dxa"/>
            <w:tcBorders>
              <w:top w:val="nil"/>
              <w:left w:val="nil"/>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w:t>
            </w:r>
          </w:p>
        </w:tc>
        <w:tc>
          <w:tcPr>
            <w:tcW w:w="992" w:type="dxa"/>
            <w:tcBorders>
              <w:top w:val="nil"/>
              <w:left w:val="nil"/>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w:t>
            </w:r>
          </w:p>
        </w:tc>
        <w:tc>
          <w:tcPr>
            <w:tcW w:w="851" w:type="dxa"/>
            <w:tcBorders>
              <w:top w:val="nil"/>
              <w:left w:val="nil"/>
              <w:bottom w:val="single" w:sz="4" w:space="0" w:color="auto"/>
              <w:right w:val="single" w:sz="4" w:space="0" w:color="auto"/>
            </w:tcBorders>
            <w:shd w:val="clear" w:color="auto" w:fill="auto"/>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00010000000000000000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e"/>
                <w:rFonts w:ascii="Arial" w:hAnsi="Arial" w:cs="Arial"/>
                <w:sz w:val="16"/>
                <w:szCs w:val="16"/>
              </w:rPr>
              <w:t>Доходы</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23730,5</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13953,7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9776,8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58,8</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00010300000000000000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2015,7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1662,9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352,8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82,5</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00010302000000000000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2015,7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1662,9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352,8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82,5</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00010100000000000000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Налоги на прибыль, доходы</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6608,5</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4746,7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1861,8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71,8</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00010102010010000110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6608,5</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4746,7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1861,8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71,8</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00010503000010000110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Налог на совокупный доход</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215,0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215,0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00010503010011000100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215,0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215,0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00010600000000000000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Налоги на имущество</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13530,7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6119,9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7410,8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45,2</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00010601030100000100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1775,8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354,7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1421,1</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00010606000000000100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 xml:space="preserve">Земельный </w:t>
            </w:r>
            <w:proofErr w:type="gramStart"/>
            <w:r w:rsidRPr="001F3FD0">
              <w:rPr>
                <w:rStyle w:val="105pt"/>
                <w:rFonts w:ascii="Arial" w:hAnsi="Arial" w:cs="Arial"/>
                <w:sz w:val="16"/>
                <w:szCs w:val="16"/>
              </w:rPr>
              <w:t>налог</w:t>
            </w:r>
            <w:proofErr w:type="gramEnd"/>
            <w:r w:rsidRPr="001F3FD0">
              <w:rPr>
                <w:rStyle w:val="105pt"/>
                <w:rFonts w:ascii="Arial" w:hAnsi="Arial" w:cs="Arial"/>
                <w:sz w:val="16"/>
                <w:szCs w:val="16"/>
              </w:rPr>
              <w:t xml:space="preserve"> зачисляемый в бюджеты поселений</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11754,9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5765,2</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5989,7</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72,6</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00010606033100000100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Земельный налог с организаций</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7807,9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5668,0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2139,9</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72,6</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00010606043100000100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Земельный налог с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3947,0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97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3849,8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2,5</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00010800000000000000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Style w:val="105pt"/>
                <w:rFonts w:ascii="Arial" w:hAnsi="Arial" w:cs="Arial"/>
                <w:sz w:val="16"/>
                <w:szCs w:val="16"/>
              </w:rPr>
              <w:t>Государственная пошлина</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44,8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44,8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00010807175010000110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color w:val="000000"/>
                <w:sz w:val="16"/>
                <w:szCs w:val="16"/>
              </w:rPr>
            </w:pPr>
            <w:r w:rsidRPr="001F3FD0">
              <w:rPr>
                <w:rFonts w:ascii="Arial" w:hAnsi="Arial" w:cs="Arial"/>
                <w:color w:val="000000"/>
                <w:sz w:val="16"/>
                <w:szCs w:val="16"/>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w:t>
            </w:r>
            <w:r w:rsidRPr="001F3FD0">
              <w:rPr>
                <w:rFonts w:ascii="Arial" w:hAnsi="Arial" w:cs="Arial"/>
                <w:color w:val="000000"/>
                <w:sz w:val="16"/>
                <w:szCs w:val="16"/>
              </w:rPr>
              <w:lastRenderedPageBreak/>
              <w:t>тяжеловесных и (или) крупногабаритных грузов, зачисляемая в бюджеты поселений</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lastRenderedPageBreak/>
              <w:t>44,8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44,8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lastRenderedPageBreak/>
              <w:t>00010900000000000000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Style w:val="105pt"/>
                <w:rFonts w:ascii="Arial" w:hAnsi="Arial" w:cs="Arial"/>
                <w:sz w:val="16"/>
                <w:szCs w:val="16"/>
              </w:rPr>
              <w:t>Задолженность и перерасчеты по отмененным налогам, сборам и иным обязательным платежам</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0001090405310000110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Style w:val="105pt"/>
                <w:rFonts w:ascii="Arial" w:hAnsi="Arial" w:cs="Arial"/>
                <w:sz w:val="16"/>
                <w:szCs w:val="16"/>
              </w:rPr>
              <w:t>Земельный налог (по обязательствам, возникшим до 1 января 2006 года), мобилизуемый на территориях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00011100000000000100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611,0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468,2</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142,8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76,6</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0001110513050000120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proofErr w:type="gramStart"/>
            <w:r w:rsidRPr="001F3FD0">
              <w:rPr>
                <w:rStyle w:val="105pt"/>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427,0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349,2</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77,8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81,8</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00011105035100000120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184,0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119,0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65,0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64,7</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000</w:t>
            </w:r>
            <w:r w:rsidRPr="001F3FD0">
              <w:rPr>
                <w:rFonts w:ascii="Arial" w:hAnsi="Arial" w:cs="Arial"/>
                <w:sz w:val="16"/>
                <w:szCs w:val="16"/>
              </w:rPr>
              <w:t xml:space="preserve"> </w:t>
            </w:r>
            <w:r w:rsidRPr="001F3FD0">
              <w:rPr>
                <w:rStyle w:val="105pt"/>
                <w:rFonts w:ascii="Arial" w:hAnsi="Arial" w:cs="Arial"/>
                <w:sz w:val="16"/>
                <w:szCs w:val="16"/>
              </w:rPr>
              <w:t>11400000000000 000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Style w:val="105pt"/>
                <w:rFonts w:ascii="Arial" w:hAnsi="Arial" w:cs="Arial"/>
                <w:sz w:val="16"/>
                <w:szCs w:val="16"/>
              </w:rPr>
              <w:t>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704,8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704,8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bCs/>
                <w:color w:val="000000"/>
                <w:sz w:val="16"/>
                <w:szCs w:val="16"/>
              </w:rPr>
            </w:pPr>
            <w:r w:rsidRPr="001F3FD0">
              <w:rPr>
                <w:rFonts w:ascii="Arial" w:hAnsi="Arial" w:cs="Arial"/>
                <w:bCs/>
                <w:color w:val="000000"/>
                <w:sz w:val="16"/>
                <w:szCs w:val="16"/>
              </w:rPr>
              <w:t>00011402053100000440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45,3</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45,3</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Fonts w:ascii="Arial" w:hAnsi="Arial" w:cs="Arial"/>
                <w:bCs/>
                <w:color w:val="000000"/>
                <w:sz w:val="16"/>
                <w:szCs w:val="16"/>
              </w:rPr>
              <w:t>00011406025100000430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659,5</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659,5</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00020000000000000000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12174,4</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7717,6</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4456,8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63,4</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00020200000000000000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Fonts w:ascii="Arial" w:hAnsi="Arial" w:cs="Arial"/>
                <w:sz w:val="16"/>
                <w:szCs w:val="16"/>
              </w:rPr>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12174,4</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7717,6</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4456,8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63,4</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00020210000000000150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Style w:val="105pt"/>
                <w:rFonts w:ascii="Arial" w:hAnsi="Arial" w:cs="Arial"/>
                <w:sz w:val="16"/>
                <w:szCs w:val="16"/>
              </w:rPr>
              <w:t>Дотации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6065,2</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6065,2</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00020215001100000150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4797,8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4797,8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00020216001100000150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1267,4</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1267,4</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00020220000000000150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Style w:val="105pt"/>
                <w:rFonts w:ascii="Arial" w:hAnsi="Arial" w:cs="Arial"/>
                <w:sz w:val="16"/>
                <w:szCs w:val="16"/>
              </w:rPr>
              <w:t>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5845,6</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1469,8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4375,8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69,3</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00020229999100000150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Style w:val="105pt"/>
                <w:rFonts w:ascii="Arial" w:hAnsi="Arial" w:cs="Arial"/>
                <w:sz w:val="16"/>
                <w:szCs w:val="16"/>
              </w:rPr>
              <w:t>Прочие субсидии бюджетам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5845,6</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1469,8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4375,8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69,3</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00020230000000000150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Style w:val="105pt"/>
                <w:rFonts w:ascii="Arial" w:hAnsi="Arial" w:cs="Arial"/>
                <w:sz w:val="16"/>
                <w:szCs w:val="16"/>
              </w:rPr>
              <w:t>Субвенции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263,6</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182,6</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81,0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69,3</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00020230024100000150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Субвенции бюджетам поселений на выполнение передаваемых полномочий субъектам РФ</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00020235118100000150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Субвенции бюджетам поселений на осуществление первичного воинского учета</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259,8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178,8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81,0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68,8</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Consolas145pt0pt"/>
                <w:rFonts w:ascii="Arial" w:hAnsi="Arial" w:cs="Arial"/>
                <w:sz w:val="16"/>
                <w:szCs w:val="16"/>
              </w:rPr>
              <w:t>Итого доходов</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35904,9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21671,3</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14233,6</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60,4</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Расходы</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p>
        </w:tc>
      </w:tr>
      <w:tr w:rsidR="001F3FD0" w:rsidRPr="001F3FD0" w:rsidTr="001F3FD0">
        <w:trPr>
          <w:trHeight w:val="2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0100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Общегосударственные вопросы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7890,5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5520,8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2369,7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0102</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956,6</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672,5</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284,1</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70,3</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0104</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5537,7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3942,2</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1595,4</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71,2</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0106</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46,0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46,0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0111</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lastRenderedPageBreak/>
              <w:t>0113</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Другие</w:t>
            </w:r>
          </w:p>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1300,2</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860,0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440,2</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66,1</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0200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259,8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178,8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81,0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68,8</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0203</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259,8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178,8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81,0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68,8</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0300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0310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0400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2402,2</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1714,8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687,4</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71,4</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0409</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2357,2</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1685,8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671,4</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71,5</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0412</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45,0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29,0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16,0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64,4</w:t>
            </w:r>
          </w:p>
        </w:tc>
      </w:tr>
      <w:tr w:rsidR="001F3FD0" w:rsidRPr="001F3FD0" w:rsidTr="001F3FD0">
        <w:trPr>
          <w:trHeight w:val="20"/>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0500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Жилищно-коммунальное хозяйство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4339,3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3859,6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479,7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88,9</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0502</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2586,4</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2418,9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167,4</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93,5</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0503</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1753,0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1440,7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312,2</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82,2</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0700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32,3</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29,6</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2,7</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91,6</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Style w:val="105pt"/>
                <w:rFonts w:ascii="Arial" w:hAnsi="Arial" w:cs="Arial"/>
                <w:sz w:val="16"/>
                <w:szCs w:val="16"/>
              </w:rPr>
            </w:pPr>
            <w:r w:rsidRPr="001F3FD0">
              <w:rPr>
                <w:rStyle w:val="105pt"/>
                <w:rFonts w:ascii="Arial" w:hAnsi="Arial" w:cs="Arial"/>
                <w:sz w:val="16"/>
                <w:szCs w:val="16"/>
              </w:rPr>
              <w:t>0705</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Style w:val="105pt"/>
                <w:rFonts w:ascii="Arial" w:hAnsi="Arial" w:cs="Arial"/>
                <w:sz w:val="16"/>
                <w:szCs w:val="16"/>
              </w:rPr>
            </w:pPr>
            <w:r w:rsidRPr="001F3FD0">
              <w:rPr>
                <w:rStyle w:val="105pt"/>
                <w:rFonts w:ascii="Arial" w:hAnsi="Arial" w:cs="Arial"/>
                <w:sz w:val="16"/>
                <w:szCs w:val="16"/>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17,3</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15,5</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1,8</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89,6</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0707</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Молодежная политика и оздоровление детей</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14,1</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94,0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0800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Культура, кинематография и средства массовой информации</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23565,9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14132,9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9433,0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0801</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23565,9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14132,9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9433,0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1000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36,7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36,7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1006</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Прочая закупка товаров, работ и услуг для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36,7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36,7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1100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1101</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Развитие физической культуры</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100,0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1300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1301</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0,0</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Итого расходов</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38559,8</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25483,4</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13076,4</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66,1</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00000000000000000000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Источники финансирования дефицита бюджета всего</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2654,9</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3812,1</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X</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00001050201100000510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увеличение остатков средств</w:t>
            </w:r>
          </w:p>
        </w:tc>
        <w:tc>
          <w:tcPr>
            <w:tcW w:w="993"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-37535,7</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-27861,3</w:t>
            </w:r>
          </w:p>
        </w:tc>
        <w:tc>
          <w:tcPr>
            <w:tcW w:w="992"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X</w:t>
            </w:r>
          </w:p>
        </w:tc>
      </w:tr>
      <w:tr w:rsidR="001F3FD0" w:rsidRPr="001F3FD0" w:rsidTr="001F3FD0">
        <w:trPr>
          <w:trHeight w:val="20"/>
        </w:trPr>
        <w:tc>
          <w:tcPr>
            <w:tcW w:w="2147" w:type="dxa"/>
            <w:tcBorders>
              <w:top w:val="nil"/>
              <w:left w:val="single" w:sz="4" w:space="0" w:color="auto"/>
              <w:bottom w:val="single" w:sz="4" w:space="0" w:color="auto"/>
              <w:right w:val="single" w:sz="4" w:space="0" w:color="auto"/>
            </w:tcBorders>
            <w:shd w:val="clear" w:color="auto" w:fill="auto"/>
            <w:noWrap/>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00001050201100000610</w:t>
            </w:r>
          </w:p>
        </w:tc>
        <w:tc>
          <w:tcPr>
            <w:tcW w:w="3685" w:type="dxa"/>
            <w:tcBorders>
              <w:top w:val="nil"/>
              <w:left w:val="nil"/>
              <w:bottom w:val="single" w:sz="4" w:space="0" w:color="auto"/>
              <w:right w:val="single" w:sz="4" w:space="0" w:color="auto"/>
            </w:tcBorders>
            <w:shd w:val="clear" w:color="auto" w:fill="auto"/>
            <w:vAlign w:val="center"/>
            <w:hideMark/>
          </w:tcPr>
          <w:p w:rsidR="001F3FD0" w:rsidRPr="001F3FD0" w:rsidRDefault="001F3FD0" w:rsidP="001F3FD0">
            <w:pPr>
              <w:ind w:left="-88"/>
              <w:jc w:val="both"/>
              <w:rPr>
                <w:rFonts w:ascii="Arial" w:hAnsi="Arial" w:cs="Arial"/>
                <w:sz w:val="16"/>
                <w:szCs w:val="16"/>
              </w:rPr>
            </w:pPr>
            <w:r w:rsidRPr="001F3FD0">
              <w:rPr>
                <w:rStyle w:val="105pt"/>
                <w:rFonts w:ascii="Arial" w:hAnsi="Arial" w:cs="Arial"/>
                <w:sz w:val="16"/>
                <w:szCs w:val="16"/>
              </w:rPr>
              <w:t>уменьшение остатков средств</w:t>
            </w:r>
          </w:p>
        </w:tc>
        <w:tc>
          <w:tcPr>
            <w:tcW w:w="993" w:type="dxa"/>
            <w:tcBorders>
              <w:top w:val="nil"/>
              <w:left w:val="nil"/>
              <w:bottom w:val="single" w:sz="4" w:space="0" w:color="auto"/>
              <w:right w:val="single" w:sz="4" w:space="0" w:color="auto"/>
            </w:tcBorders>
            <w:shd w:val="clear" w:color="auto" w:fill="auto"/>
            <w:noWrap/>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37915,6</w:t>
            </w:r>
          </w:p>
        </w:tc>
        <w:tc>
          <w:tcPr>
            <w:tcW w:w="992" w:type="dxa"/>
            <w:tcBorders>
              <w:top w:val="nil"/>
              <w:left w:val="nil"/>
              <w:bottom w:val="single" w:sz="4" w:space="0" w:color="auto"/>
              <w:right w:val="single" w:sz="4" w:space="0" w:color="auto"/>
            </w:tcBorders>
            <w:shd w:val="clear" w:color="auto" w:fill="auto"/>
            <w:noWrap/>
            <w:vAlign w:val="center"/>
            <w:hideMark/>
          </w:tcPr>
          <w:p w:rsidR="001F3FD0" w:rsidRPr="001F3FD0" w:rsidRDefault="001F3FD0" w:rsidP="001F3FD0">
            <w:pPr>
              <w:ind w:left="-88"/>
              <w:jc w:val="center"/>
              <w:rPr>
                <w:rFonts w:ascii="Arial" w:hAnsi="Arial" w:cs="Arial"/>
                <w:sz w:val="16"/>
                <w:szCs w:val="16"/>
              </w:rPr>
            </w:pPr>
            <w:r w:rsidRPr="001F3FD0">
              <w:rPr>
                <w:rFonts w:ascii="Arial" w:hAnsi="Arial" w:cs="Arial"/>
                <w:sz w:val="16"/>
                <w:szCs w:val="16"/>
              </w:rPr>
              <w:t>26873,4</w:t>
            </w:r>
          </w:p>
        </w:tc>
        <w:tc>
          <w:tcPr>
            <w:tcW w:w="992" w:type="dxa"/>
            <w:tcBorders>
              <w:top w:val="nil"/>
              <w:left w:val="nil"/>
              <w:bottom w:val="single" w:sz="4" w:space="0" w:color="auto"/>
              <w:right w:val="single" w:sz="4" w:space="0" w:color="auto"/>
            </w:tcBorders>
            <w:shd w:val="clear" w:color="auto" w:fill="auto"/>
            <w:noWrap/>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X</w:t>
            </w:r>
          </w:p>
        </w:tc>
        <w:tc>
          <w:tcPr>
            <w:tcW w:w="851" w:type="dxa"/>
            <w:tcBorders>
              <w:top w:val="nil"/>
              <w:left w:val="nil"/>
              <w:bottom w:val="single" w:sz="4" w:space="0" w:color="auto"/>
              <w:right w:val="single" w:sz="4" w:space="0" w:color="auto"/>
            </w:tcBorders>
            <w:shd w:val="clear" w:color="auto" w:fill="auto"/>
            <w:noWrap/>
            <w:vAlign w:val="center"/>
            <w:hideMark/>
          </w:tcPr>
          <w:p w:rsidR="001F3FD0" w:rsidRPr="001F3FD0" w:rsidRDefault="001F3FD0" w:rsidP="001F3FD0">
            <w:pPr>
              <w:ind w:left="-88"/>
              <w:jc w:val="center"/>
              <w:rPr>
                <w:rFonts w:ascii="Arial" w:hAnsi="Arial" w:cs="Arial"/>
                <w:sz w:val="16"/>
                <w:szCs w:val="16"/>
              </w:rPr>
            </w:pPr>
            <w:r w:rsidRPr="001F3FD0">
              <w:rPr>
                <w:rStyle w:val="105pt"/>
                <w:rFonts w:ascii="Arial" w:hAnsi="Arial" w:cs="Arial"/>
                <w:sz w:val="16"/>
                <w:szCs w:val="16"/>
              </w:rPr>
              <w:t>X</w:t>
            </w:r>
          </w:p>
        </w:tc>
      </w:tr>
    </w:tbl>
    <w:p w:rsidR="001F3FD0" w:rsidRPr="001F3FD0" w:rsidRDefault="001F3FD0" w:rsidP="001F3FD0">
      <w:pPr>
        <w:rPr>
          <w:rFonts w:ascii="Arial" w:hAnsi="Arial" w:cs="Arial"/>
          <w:sz w:val="16"/>
          <w:szCs w:val="16"/>
        </w:rPr>
      </w:pPr>
    </w:p>
    <w:p w:rsidR="001F3FD0" w:rsidRPr="001F3FD0" w:rsidRDefault="001F3FD0" w:rsidP="001F3FD0">
      <w:pPr>
        <w:rPr>
          <w:rFonts w:ascii="Arial" w:hAnsi="Arial" w:cs="Arial"/>
          <w:sz w:val="16"/>
          <w:szCs w:val="16"/>
        </w:rPr>
      </w:pPr>
    </w:p>
    <w:p w:rsidR="001F3FD0" w:rsidRPr="001F3FD0" w:rsidRDefault="001F3FD0" w:rsidP="001F3FD0">
      <w:pPr>
        <w:rPr>
          <w:rFonts w:ascii="Arial" w:hAnsi="Arial" w:cs="Arial"/>
          <w:sz w:val="16"/>
          <w:szCs w:val="16"/>
        </w:rPr>
      </w:pPr>
    </w:p>
    <w:p w:rsidR="001F3FD0" w:rsidRPr="001F3FD0" w:rsidRDefault="001F3FD0" w:rsidP="001F3FD0">
      <w:pPr>
        <w:rPr>
          <w:rFonts w:ascii="Arial" w:hAnsi="Arial" w:cs="Arial"/>
          <w:sz w:val="16"/>
          <w:szCs w:val="16"/>
        </w:rPr>
      </w:pPr>
      <w:r w:rsidRPr="001F3FD0">
        <w:rPr>
          <w:rFonts w:ascii="Arial" w:hAnsi="Arial" w:cs="Arial"/>
          <w:sz w:val="16"/>
          <w:szCs w:val="16"/>
        </w:rPr>
        <w:t xml:space="preserve">Глава Новосельского сельского поселения </w:t>
      </w:r>
    </w:p>
    <w:p w:rsidR="001F3FD0" w:rsidRDefault="001F3FD0" w:rsidP="001F3FD0">
      <w:pPr>
        <w:rPr>
          <w:rFonts w:ascii="Arial" w:hAnsi="Arial" w:cs="Arial"/>
          <w:sz w:val="16"/>
          <w:szCs w:val="16"/>
        </w:rPr>
      </w:pPr>
      <w:r w:rsidRPr="001F3FD0">
        <w:rPr>
          <w:rFonts w:ascii="Arial" w:hAnsi="Arial" w:cs="Arial"/>
          <w:sz w:val="16"/>
          <w:szCs w:val="16"/>
        </w:rPr>
        <w:t>Новокубанского района</w:t>
      </w:r>
    </w:p>
    <w:p w:rsidR="001F3FD0" w:rsidRDefault="001F3FD0" w:rsidP="001F3FD0">
      <w:pPr>
        <w:rPr>
          <w:rFonts w:ascii="Arial" w:hAnsi="Arial" w:cs="Arial"/>
          <w:sz w:val="16"/>
          <w:szCs w:val="16"/>
        </w:rPr>
      </w:pPr>
      <w:r w:rsidRPr="001F3FD0">
        <w:rPr>
          <w:rFonts w:ascii="Arial" w:hAnsi="Arial" w:cs="Arial"/>
          <w:sz w:val="16"/>
          <w:szCs w:val="16"/>
        </w:rPr>
        <w:t>А.Е.Колесников</w:t>
      </w:r>
    </w:p>
    <w:p w:rsidR="001F3FD0" w:rsidRDefault="001F3FD0" w:rsidP="001F3FD0">
      <w:pPr>
        <w:rPr>
          <w:rFonts w:ascii="Arial" w:hAnsi="Arial" w:cs="Arial"/>
          <w:sz w:val="16"/>
          <w:szCs w:val="16"/>
        </w:rPr>
      </w:pPr>
    </w:p>
    <w:p w:rsidR="001F3FD0" w:rsidRDefault="001F3FD0" w:rsidP="001F3FD0">
      <w:pPr>
        <w:rPr>
          <w:rFonts w:ascii="Arial" w:hAnsi="Arial" w:cs="Arial"/>
          <w:sz w:val="16"/>
          <w:szCs w:val="16"/>
        </w:rPr>
      </w:pPr>
    </w:p>
    <w:p w:rsidR="001F3FD0" w:rsidRDefault="001F3FD0" w:rsidP="001F3FD0">
      <w:pPr>
        <w:rPr>
          <w:rFonts w:ascii="Arial" w:hAnsi="Arial" w:cs="Arial"/>
          <w:sz w:val="16"/>
          <w:szCs w:val="16"/>
        </w:rPr>
      </w:pPr>
    </w:p>
    <w:p w:rsidR="001F3FD0" w:rsidRPr="001F3FD0" w:rsidRDefault="001F3FD0" w:rsidP="001F3FD0">
      <w:pPr>
        <w:jc w:val="both"/>
        <w:rPr>
          <w:rFonts w:ascii="Arial" w:hAnsi="Arial" w:cs="Arial"/>
          <w:sz w:val="16"/>
          <w:szCs w:val="16"/>
        </w:rPr>
      </w:pPr>
      <w:r w:rsidRPr="001F3FD0">
        <w:rPr>
          <w:rFonts w:ascii="Arial" w:hAnsi="Arial" w:cs="Arial"/>
          <w:sz w:val="16"/>
          <w:szCs w:val="16"/>
        </w:rPr>
        <w:t>Приложение № 2</w:t>
      </w:r>
    </w:p>
    <w:p w:rsidR="001F3FD0" w:rsidRDefault="001F3FD0" w:rsidP="001F3FD0">
      <w:pPr>
        <w:jc w:val="both"/>
        <w:rPr>
          <w:rFonts w:ascii="Arial" w:hAnsi="Arial" w:cs="Arial"/>
          <w:bCs/>
          <w:color w:val="000000"/>
          <w:sz w:val="16"/>
          <w:szCs w:val="16"/>
        </w:rPr>
      </w:pPr>
      <w:r w:rsidRPr="001F3FD0">
        <w:rPr>
          <w:rFonts w:ascii="Arial" w:hAnsi="Arial" w:cs="Arial"/>
          <w:bCs/>
          <w:color w:val="000000"/>
          <w:sz w:val="16"/>
          <w:szCs w:val="16"/>
        </w:rPr>
        <w:t xml:space="preserve">к постановлению администрации </w:t>
      </w:r>
    </w:p>
    <w:p w:rsidR="001F3FD0" w:rsidRDefault="001F3FD0" w:rsidP="001F3FD0">
      <w:pPr>
        <w:jc w:val="both"/>
        <w:rPr>
          <w:rFonts w:ascii="Arial" w:hAnsi="Arial" w:cs="Arial"/>
          <w:bCs/>
          <w:color w:val="000000"/>
          <w:sz w:val="16"/>
          <w:szCs w:val="16"/>
        </w:rPr>
      </w:pPr>
      <w:r w:rsidRPr="001F3FD0">
        <w:rPr>
          <w:rFonts w:ascii="Arial" w:hAnsi="Arial" w:cs="Arial"/>
          <w:bCs/>
          <w:color w:val="000000"/>
          <w:sz w:val="16"/>
          <w:szCs w:val="16"/>
        </w:rPr>
        <w:t xml:space="preserve">Новосельского сельского поселения </w:t>
      </w:r>
    </w:p>
    <w:p w:rsidR="001F3FD0" w:rsidRPr="001F3FD0" w:rsidRDefault="001F3FD0" w:rsidP="001F3FD0">
      <w:pPr>
        <w:jc w:val="both"/>
        <w:rPr>
          <w:rFonts w:ascii="Arial" w:hAnsi="Arial" w:cs="Arial"/>
          <w:bCs/>
          <w:color w:val="000000"/>
          <w:sz w:val="16"/>
          <w:szCs w:val="16"/>
        </w:rPr>
      </w:pPr>
      <w:r w:rsidRPr="001F3FD0">
        <w:rPr>
          <w:rFonts w:ascii="Arial" w:hAnsi="Arial" w:cs="Arial"/>
          <w:bCs/>
          <w:color w:val="000000"/>
          <w:sz w:val="16"/>
          <w:szCs w:val="16"/>
        </w:rPr>
        <w:t xml:space="preserve">Новокубанского района </w:t>
      </w:r>
    </w:p>
    <w:p w:rsidR="001F3FD0" w:rsidRPr="001F3FD0" w:rsidRDefault="001F3FD0" w:rsidP="001F3FD0">
      <w:pPr>
        <w:jc w:val="both"/>
        <w:rPr>
          <w:rFonts w:ascii="Arial" w:hAnsi="Arial" w:cs="Arial"/>
          <w:bCs/>
          <w:color w:val="000000"/>
          <w:sz w:val="16"/>
          <w:szCs w:val="16"/>
        </w:rPr>
      </w:pPr>
      <w:r w:rsidRPr="001F3FD0">
        <w:rPr>
          <w:rFonts w:ascii="Arial" w:hAnsi="Arial" w:cs="Arial"/>
          <w:bCs/>
          <w:color w:val="000000"/>
          <w:sz w:val="16"/>
          <w:szCs w:val="16"/>
        </w:rPr>
        <w:t xml:space="preserve">от </w:t>
      </w:r>
      <w:r>
        <w:rPr>
          <w:rFonts w:ascii="Arial" w:hAnsi="Arial" w:cs="Arial"/>
          <w:bCs/>
          <w:color w:val="000000"/>
          <w:sz w:val="16"/>
          <w:szCs w:val="16"/>
        </w:rPr>
        <w:t>03.10.2022 г.</w:t>
      </w:r>
      <w:r w:rsidRPr="001F3FD0">
        <w:rPr>
          <w:rFonts w:ascii="Arial" w:hAnsi="Arial" w:cs="Arial"/>
          <w:bCs/>
          <w:color w:val="000000"/>
          <w:sz w:val="16"/>
          <w:szCs w:val="16"/>
        </w:rPr>
        <w:t xml:space="preserve"> № </w:t>
      </w:r>
      <w:r>
        <w:rPr>
          <w:rFonts w:ascii="Arial" w:hAnsi="Arial" w:cs="Arial"/>
          <w:bCs/>
          <w:color w:val="000000"/>
          <w:sz w:val="16"/>
          <w:szCs w:val="16"/>
        </w:rPr>
        <w:t>126</w:t>
      </w:r>
    </w:p>
    <w:p w:rsidR="001F3FD0" w:rsidRPr="001F3FD0" w:rsidRDefault="001F3FD0" w:rsidP="001F3FD0">
      <w:pPr>
        <w:rPr>
          <w:rFonts w:ascii="Arial" w:hAnsi="Arial" w:cs="Arial"/>
          <w:sz w:val="16"/>
          <w:szCs w:val="16"/>
        </w:rPr>
      </w:pPr>
    </w:p>
    <w:p w:rsidR="001F3FD0" w:rsidRPr="001F3FD0" w:rsidRDefault="001F3FD0" w:rsidP="001F3FD0">
      <w:pPr>
        <w:rPr>
          <w:rFonts w:ascii="Arial" w:hAnsi="Arial" w:cs="Arial"/>
          <w:sz w:val="16"/>
          <w:szCs w:val="16"/>
        </w:rPr>
      </w:pPr>
    </w:p>
    <w:p w:rsidR="001F3FD0" w:rsidRDefault="001F3FD0" w:rsidP="001F3FD0">
      <w:pPr>
        <w:pStyle w:val="47"/>
        <w:shd w:val="clear" w:color="auto" w:fill="auto"/>
        <w:spacing w:before="0" w:line="240" w:lineRule="auto"/>
        <w:ind w:left="260"/>
        <w:rPr>
          <w:rFonts w:ascii="Arial" w:hAnsi="Arial" w:cs="Arial"/>
          <w:color w:val="000000"/>
          <w:spacing w:val="0"/>
          <w:sz w:val="16"/>
          <w:szCs w:val="16"/>
        </w:rPr>
      </w:pPr>
      <w:r w:rsidRPr="001F3FD0">
        <w:rPr>
          <w:rFonts w:ascii="Arial" w:hAnsi="Arial" w:cs="Arial"/>
          <w:color w:val="000000"/>
          <w:spacing w:val="0"/>
          <w:sz w:val="16"/>
          <w:szCs w:val="16"/>
        </w:rPr>
        <w:t xml:space="preserve">Отчет об использовании средств резервного фонда Новосельского сельского поселения Новокубанского района за 9 месяцев </w:t>
      </w:r>
      <w:r w:rsidRPr="001F3FD0">
        <w:rPr>
          <w:rStyle w:val="413pt0pt"/>
          <w:rFonts w:ascii="Arial" w:hAnsi="Arial" w:cs="Arial"/>
          <w:b/>
          <w:spacing w:val="0"/>
          <w:sz w:val="16"/>
          <w:szCs w:val="16"/>
        </w:rPr>
        <w:t>2022</w:t>
      </w:r>
      <w:r w:rsidRPr="001F3FD0">
        <w:rPr>
          <w:rFonts w:ascii="Arial" w:hAnsi="Arial" w:cs="Arial"/>
          <w:color w:val="000000"/>
          <w:spacing w:val="0"/>
          <w:sz w:val="16"/>
          <w:szCs w:val="16"/>
        </w:rPr>
        <w:t xml:space="preserve"> года</w:t>
      </w:r>
    </w:p>
    <w:p w:rsidR="001F3FD0" w:rsidRPr="001F3FD0" w:rsidRDefault="001F3FD0" w:rsidP="001F3FD0">
      <w:pPr>
        <w:pStyle w:val="47"/>
        <w:shd w:val="clear" w:color="auto" w:fill="auto"/>
        <w:spacing w:before="0" w:line="240" w:lineRule="auto"/>
        <w:ind w:left="260"/>
        <w:rPr>
          <w:rFonts w:ascii="Arial" w:hAnsi="Arial" w:cs="Arial"/>
          <w:color w:val="000000"/>
          <w:spacing w:val="0"/>
          <w:sz w:val="16"/>
          <w:szCs w:val="16"/>
        </w:rPr>
      </w:pPr>
    </w:p>
    <w:p w:rsidR="001F3FD0" w:rsidRDefault="001F3FD0" w:rsidP="001F3FD0">
      <w:pPr>
        <w:pStyle w:val="1"/>
        <w:spacing w:before="0" w:after="0"/>
        <w:jc w:val="both"/>
        <w:rPr>
          <w:rStyle w:val="aff9"/>
          <w:rFonts w:ascii="Arial" w:hAnsi="Arial" w:cs="Arial"/>
          <w:b w:val="0"/>
          <w:i w:val="0"/>
          <w:iCs w:val="0"/>
          <w:sz w:val="16"/>
          <w:szCs w:val="16"/>
        </w:rPr>
      </w:pPr>
      <w:r w:rsidRPr="001F3FD0">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2022 год» от 09 декабря 2021 года № 130 предусмотрены средства резервного фонда в сумме 50,0 тыс. рублей.</w:t>
      </w:r>
    </w:p>
    <w:p w:rsidR="001F3FD0" w:rsidRPr="001F3FD0" w:rsidRDefault="001F3FD0" w:rsidP="001F3FD0"/>
    <w:p w:rsidR="001F3FD0" w:rsidRPr="001F3FD0" w:rsidRDefault="001F3FD0" w:rsidP="001F3FD0">
      <w:pPr>
        <w:pStyle w:val="1"/>
        <w:spacing w:before="0" w:after="0"/>
        <w:jc w:val="center"/>
        <w:rPr>
          <w:rStyle w:val="aff9"/>
          <w:rFonts w:ascii="Arial" w:hAnsi="Arial" w:cs="Arial"/>
          <w:b w:val="0"/>
          <w:i w:val="0"/>
          <w:iCs w:val="0"/>
          <w:sz w:val="16"/>
          <w:szCs w:val="16"/>
        </w:rPr>
      </w:pPr>
      <w:r w:rsidRPr="001F3FD0">
        <w:rPr>
          <w:rStyle w:val="aff9"/>
          <w:rFonts w:ascii="Arial" w:hAnsi="Arial" w:cs="Arial"/>
          <w:b w:val="0"/>
          <w:i w:val="0"/>
          <w:iCs w:val="0"/>
          <w:sz w:val="16"/>
          <w:szCs w:val="16"/>
        </w:rPr>
        <w:t xml:space="preserve">За </w:t>
      </w:r>
      <w:r w:rsidRPr="001F3FD0">
        <w:rPr>
          <w:rFonts w:ascii="Arial" w:hAnsi="Arial" w:cs="Arial"/>
          <w:b w:val="0"/>
          <w:color w:val="000000"/>
          <w:sz w:val="16"/>
          <w:szCs w:val="16"/>
        </w:rPr>
        <w:t xml:space="preserve">9 месяцев </w:t>
      </w:r>
      <w:r w:rsidRPr="001F3FD0">
        <w:rPr>
          <w:rStyle w:val="aff9"/>
          <w:rFonts w:ascii="Arial" w:hAnsi="Arial" w:cs="Arial"/>
          <w:b w:val="0"/>
          <w:i w:val="0"/>
          <w:iCs w:val="0"/>
          <w:sz w:val="16"/>
          <w:szCs w:val="16"/>
        </w:rPr>
        <w:t>2022 года средства резервного фонда, использованы не были.</w:t>
      </w:r>
    </w:p>
    <w:p w:rsidR="00922DCA" w:rsidRPr="0009260E" w:rsidRDefault="00922DCA" w:rsidP="00C37378">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p>
    <w:p w:rsidR="00922DCA" w:rsidRPr="0009260E" w:rsidRDefault="00922DCA" w:rsidP="0009260E">
      <w:pPr>
        <w:jc w:val="both"/>
        <w:rPr>
          <w:rFonts w:ascii="Arial" w:hAnsi="Arial" w:cs="Arial"/>
          <w:b/>
          <w:sz w:val="16"/>
          <w:szCs w:val="16"/>
        </w:rPr>
      </w:pPr>
      <w:r w:rsidRPr="0009260E">
        <w:rPr>
          <w:rFonts w:ascii="Arial" w:hAnsi="Arial" w:cs="Arial"/>
          <w:sz w:val="16"/>
          <w:szCs w:val="16"/>
        </w:rPr>
        <w:t>Глава Новосельского сельского поселения</w:t>
      </w:r>
    </w:p>
    <w:p w:rsidR="00807C26" w:rsidRDefault="00922DCA" w:rsidP="0009260E">
      <w:pPr>
        <w:jc w:val="both"/>
        <w:rPr>
          <w:rFonts w:ascii="Arial" w:hAnsi="Arial" w:cs="Arial"/>
          <w:sz w:val="16"/>
          <w:szCs w:val="16"/>
        </w:rPr>
      </w:pPr>
      <w:r w:rsidRPr="0009260E">
        <w:rPr>
          <w:rFonts w:ascii="Arial" w:hAnsi="Arial" w:cs="Arial"/>
          <w:sz w:val="16"/>
          <w:szCs w:val="16"/>
        </w:rPr>
        <w:t>Новокубанского района</w:t>
      </w:r>
    </w:p>
    <w:p w:rsidR="00922DCA" w:rsidRPr="0009260E" w:rsidRDefault="00922DCA" w:rsidP="0009260E">
      <w:pPr>
        <w:jc w:val="both"/>
        <w:rPr>
          <w:rFonts w:ascii="Arial" w:hAnsi="Arial" w:cs="Arial"/>
          <w:sz w:val="16"/>
          <w:szCs w:val="16"/>
        </w:rPr>
      </w:pPr>
      <w:r w:rsidRPr="0009260E">
        <w:rPr>
          <w:rFonts w:ascii="Arial" w:hAnsi="Arial" w:cs="Arial"/>
          <w:sz w:val="16"/>
          <w:szCs w:val="16"/>
        </w:rPr>
        <w:t>А.Е.Колесников</w:t>
      </w:r>
    </w:p>
    <w:p w:rsidR="00B17119" w:rsidRDefault="00B17119" w:rsidP="0009260E">
      <w:pPr>
        <w:jc w:val="both"/>
        <w:rPr>
          <w:rFonts w:ascii="Arial" w:hAnsi="Arial" w:cs="Arial"/>
          <w:sz w:val="16"/>
          <w:szCs w:val="16"/>
        </w:rPr>
      </w:pPr>
    </w:p>
    <w:p w:rsidR="00922DCA" w:rsidRDefault="00922DCA" w:rsidP="009C1AE8">
      <w:pPr>
        <w:jc w:val="both"/>
        <w:rPr>
          <w:rFonts w:ascii="Arial" w:hAnsi="Arial"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1F3FD0" w:rsidP="00263098">
            <w:pPr>
              <w:rPr>
                <w:rFonts w:ascii="Arial" w:hAnsi="Arial" w:cs="Arial"/>
                <w:sz w:val="16"/>
                <w:szCs w:val="16"/>
              </w:rPr>
            </w:pPr>
            <w:r>
              <w:rPr>
                <w:rFonts w:ascii="Arial" w:hAnsi="Arial" w:cs="Arial"/>
                <w:sz w:val="16"/>
                <w:szCs w:val="16"/>
              </w:rPr>
              <w:t>03</w:t>
            </w:r>
            <w:r w:rsidR="001C3D4C" w:rsidRPr="008B4045">
              <w:rPr>
                <w:rFonts w:ascii="Arial" w:hAnsi="Arial" w:cs="Arial"/>
                <w:sz w:val="16"/>
                <w:szCs w:val="16"/>
              </w:rPr>
              <w:t>.</w:t>
            </w:r>
            <w:r>
              <w:rPr>
                <w:rFonts w:ascii="Arial" w:hAnsi="Arial" w:cs="Arial"/>
                <w:sz w:val="16"/>
                <w:szCs w:val="16"/>
              </w:rPr>
              <w:t>10</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1F3FD0">
              <w:rPr>
                <w:rFonts w:ascii="Arial" w:hAnsi="Arial" w:cs="Arial"/>
                <w:sz w:val="16"/>
                <w:szCs w:val="16"/>
              </w:rPr>
              <w:t>04</w:t>
            </w:r>
            <w:r w:rsidRPr="008B4045">
              <w:rPr>
                <w:rFonts w:ascii="Arial" w:hAnsi="Arial" w:cs="Arial"/>
                <w:sz w:val="16"/>
                <w:szCs w:val="16"/>
              </w:rPr>
              <w:t>.</w:t>
            </w:r>
            <w:r w:rsidR="001F3FD0">
              <w:rPr>
                <w:rFonts w:ascii="Arial" w:hAnsi="Arial" w:cs="Arial"/>
                <w:sz w:val="16"/>
                <w:szCs w:val="16"/>
              </w:rPr>
              <w:t>10</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8"/>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84" w:rsidRDefault="000F5284">
      <w:r>
        <w:separator/>
      </w:r>
    </w:p>
  </w:endnote>
  <w:endnote w:type="continuationSeparator" w:id="0">
    <w:p w:rsidR="000F5284" w:rsidRDefault="000F52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84" w:rsidRDefault="000F5284">
      <w:r>
        <w:separator/>
      </w:r>
    </w:p>
  </w:footnote>
  <w:footnote w:type="continuationSeparator" w:id="0">
    <w:p w:rsidR="000F5284" w:rsidRDefault="000F5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0E" w:rsidRDefault="001D202F" w:rsidP="00A558D3">
    <w:pPr>
      <w:pStyle w:val="af3"/>
      <w:framePr w:wrap="around" w:vAnchor="text" w:hAnchor="margin" w:xAlign="center" w:y="1"/>
      <w:rPr>
        <w:rStyle w:val="afc"/>
      </w:rPr>
    </w:pPr>
    <w:r>
      <w:rPr>
        <w:rStyle w:val="afc"/>
      </w:rPr>
      <w:fldChar w:fldCharType="begin"/>
    </w:r>
    <w:r w:rsidR="0009260E">
      <w:rPr>
        <w:rStyle w:val="afc"/>
      </w:rPr>
      <w:instrText xml:space="preserve">PAGE  </w:instrText>
    </w:r>
    <w:r>
      <w:rPr>
        <w:rStyle w:val="afc"/>
      </w:rPr>
      <w:fldChar w:fldCharType="end"/>
    </w:r>
  </w:p>
  <w:p w:rsidR="0009260E" w:rsidRDefault="000926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2"/>
  </w:num>
  <w:num w:numId="4">
    <w:abstractNumId w:val="43"/>
  </w:num>
  <w:num w:numId="5">
    <w:abstractNumId w:val="18"/>
  </w:num>
  <w:num w:numId="6">
    <w:abstractNumId w:val="13"/>
  </w:num>
  <w:num w:numId="7">
    <w:abstractNumId w:val="3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20"/>
  </w:num>
  <w:num w:numId="16">
    <w:abstractNumId w:val="40"/>
  </w:num>
  <w:num w:numId="17">
    <w:abstractNumId w:val="1"/>
  </w:num>
  <w:num w:numId="18">
    <w:abstractNumId w:val="12"/>
  </w:num>
  <w:num w:numId="19">
    <w:abstractNumId w:val="22"/>
  </w:num>
  <w:num w:numId="20">
    <w:abstractNumId w:val="32"/>
  </w:num>
  <w:num w:numId="21">
    <w:abstractNumId w:val="16"/>
  </w:num>
  <w:num w:numId="22">
    <w:abstractNumId w:val="41"/>
  </w:num>
  <w:num w:numId="23">
    <w:abstractNumId w:val="44"/>
  </w:num>
  <w:num w:numId="24">
    <w:abstractNumId w:val="24"/>
  </w:num>
  <w:num w:numId="25">
    <w:abstractNumId w:val="27"/>
  </w:num>
  <w:num w:numId="26">
    <w:abstractNumId w:val="25"/>
  </w:num>
  <w:num w:numId="27">
    <w:abstractNumId w:val="17"/>
  </w:num>
  <w:num w:numId="28">
    <w:abstractNumId w:val="37"/>
  </w:num>
  <w:num w:numId="29">
    <w:abstractNumId w:val="26"/>
  </w:num>
  <w:num w:numId="30">
    <w:abstractNumId w:val="21"/>
  </w:num>
  <w:num w:numId="31">
    <w:abstractNumId w:val="38"/>
  </w:num>
  <w:num w:numId="32">
    <w:abstractNumId w:val="36"/>
  </w:num>
  <w:num w:numId="33">
    <w:abstractNumId w:val="14"/>
  </w:num>
  <w:num w:numId="34">
    <w:abstractNumId w:val="8"/>
  </w:num>
  <w:num w:numId="35">
    <w:abstractNumId w:val="29"/>
  </w:num>
  <w:num w:numId="36">
    <w:abstractNumId w:val="9"/>
  </w:num>
  <w:num w:numId="37">
    <w:abstractNumId w:val="4"/>
  </w:num>
  <w:num w:numId="38">
    <w:abstractNumId w:val="5"/>
  </w:num>
  <w:num w:numId="39">
    <w:abstractNumId w:val="30"/>
  </w:num>
  <w:num w:numId="40">
    <w:abstractNumId w:val="11"/>
  </w:num>
  <w:num w:numId="41">
    <w:abstractNumId w:val="10"/>
  </w:num>
  <w:num w:numId="42">
    <w:abstractNumId w:val="39"/>
  </w:num>
  <w:num w:numId="43">
    <w:abstractNumId w:val="23"/>
  </w:num>
  <w:num w:numId="44">
    <w:abstractNumId w:val="34"/>
  </w:num>
  <w:num w:numId="45">
    <w:abstractNumId w:val="15"/>
  </w:num>
  <w:num w:numId="46">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34882"/>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260E"/>
    <w:rsid w:val="000A22E4"/>
    <w:rsid w:val="000A2B0E"/>
    <w:rsid w:val="000B0C22"/>
    <w:rsid w:val="000B4C0E"/>
    <w:rsid w:val="000B541B"/>
    <w:rsid w:val="000B62E6"/>
    <w:rsid w:val="000B6387"/>
    <w:rsid w:val="000B72F5"/>
    <w:rsid w:val="000C27EE"/>
    <w:rsid w:val="000C469A"/>
    <w:rsid w:val="000C4FED"/>
    <w:rsid w:val="000C616F"/>
    <w:rsid w:val="000D3151"/>
    <w:rsid w:val="000D3B81"/>
    <w:rsid w:val="000E283A"/>
    <w:rsid w:val="000F108B"/>
    <w:rsid w:val="000F2722"/>
    <w:rsid w:val="000F3E95"/>
    <w:rsid w:val="000F5284"/>
    <w:rsid w:val="000F79D3"/>
    <w:rsid w:val="001072FD"/>
    <w:rsid w:val="00117D4D"/>
    <w:rsid w:val="0012069B"/>
    <w:rsid w:val="00121158"/>
    <w:rsid w:val="001237C2"/>
    <w:rsid w:val="0012527F"/>
    <w:rsid w:val="0012613B"/>
    <w:rsid w:val="00127B3E"/>
    <w:rsid w:val="0013040C"/>
    <w:rsid w:val="00130469"/>
    <w:rsid w:val="00130DB4"/>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AB9"/>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C26"/>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806FA"/>
    <w:rsid w:val="00995131"/>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119"/>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D6B"/>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360E4-3FAD-4BEF-AD12-3185D1A7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3</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9749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530</cp:revision>
  <cp:lastPrinted>2022-10-04T12:20:00Z</cp:lastPrinted>
  <dcterms:created xsi:type="dcterms:W3CDTF">2017-08-25T11:08:00Z</dcterms:created>
  <dcterms:modified xsi:type="dcterms:W3CDTF">2022-10-04T12:20:00Z</dcterms:modified>
</cp:coreProperties>
</file>