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B" w:rsidRDefault="0037219B" w:rsidP="0037219B">
      <w:pPr>
        <w:shd w:val="clear" w:color="auto" w:fill="FFFFFF"/>
        <w:ind w:left="38" w:hanging="38"/>
        <w:jc w:val="center"/>
        <w:rPr>
          <w:color w:val="525252"/>
          <w:spacing w:val="3"/>
          <w:sz w:val="38"/>
          <w:szCs w:val="38"/>
        </w:rPr>
      </w:pPr>
      <w:r w:rsidRPr="00884880">
        <w:rPr>
          <w:sz w:val="28"/>
        </w:rP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85pt" o:ole="">
            <v:imagedata r:id="rId7" o:title=""/>
          </v:shape>
          <o:OLEObject Type="Embed" ProgID="MSPhotoEd.3" ShapeID="_x0000_i1025" DrawAspect="Content" ObjectID="_1725694709" r:id="rId8"/>
        </w:object>
      </w: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Pr="00EE37A9">
        <w:rPr>
          <w:sz w:val="28"/>
          <w:szCs w:val="28"/>
        </w:rPr>
        <w:t>НО</w:t>
      </w:r>
      <w:r>
        <w:rPr>
          <w:sz w:val="28"/>
          <w:szCs w:val="28"/>
        </w:rPr>
        <w:t>ВОСЕЛЬСКОГО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A211B">
        <w:rPr>
          <w:b w:val="0"/>
          <w:sz w:val="28"/>
          <w:szCs w:val="28"/>
        </w:rPr>
        <w:t>22.09.2022 г.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</w:t>
      </w:r>
      <w:r w:rsidR="00AA211B">
        <w:rPr>
          <w:b w:val="0"/>
          <w:sz w:val="28"/>
          <w:szCs w:val="28"/>
        </w:rPr>
        <w:t xml:space="preserve">  </w:t>
      </w:r>
      <w:r w:rsidR="00E745F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AA211B">
        <w:rPr>
          <w:b w:val="0"/>
          <w:sz w:val="28"/>
          <w:szCs w:val="28"/>
        </w:rPr>
        <w:t>164</w:t>
      </w:r>
    </w:p>
    <w:p w:rsidR="00CE1D05" w:rsidRPr="00FF14EC" w:rsidRDefault="00CE1D05" w:rsidP="00CE1D05">
      <w:pPr>
        <w:jc w:val="center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п. Глубокий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>
        <w:rPr>
          <w:b w:val="0"/>
          <w:sz w:val="28"/>
          <w:szCs w:val="28"/>
        </w:rPr>
        <w:t>Новосельского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>часть полномочий по решению вопросов местного значения Новосельского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FF667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31 декабря 202</w:t>
      </w:r>
      <w:r w:rsidR="00FF667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Новосельского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(Копач),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>
        <w:rPr>
          <w:b w:val="0"/>
          <w:sz w:val="28"/>
          <w:szCs w:val="28"/>
        </w:rPr>
        <w:t>Новосельского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FF667D">
        <w:rPr>
          <w:b w:val="0"/>
          <w:sz w:val="28"/>
          <w:szCs w:val="28"/>
        </w:rPr>
        <w:t>3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4D2EBD" w:rsidRPr="004D2EBD">
        <w:rPr>
          <w:szCs w:val="28"/>
        </w:rPr>
        <w:t>Новосельского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r w:rsidR="004D2EBD">
        <w:rPr>
          <w:color w:val="000000"/>
          <w:szCs w:val="28"/>
        </w:rPr>
        <w:t>Коваленко</w:t>
      </w:r>
      <w:r w:rsidR="004D2EBD" w:rsidRPr="000640B5">
        <w:rPr>
          <w:color w:val="000000"/>
          <w:szCs w:val="28"/>
        </w:rPr>
        <w:t>).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Новосельского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>Новокубанского района                                                                 А.Е.Колесников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Новосельского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AA211B">
        <w:rPr>
          <w:b w:val="0"/>
          <w:spacing w:val="-1"/>
          <w:sz w:val="28"/>
          <w:szCs w:val="28"/>
        </w:rPr>
        <w:t>22.09.2022 г.</w:t>
      </w:r>
      <w:r w:rsidR="00FF667D">
        <w:rPr>
          <w:b w:val="0"/>
          <w:spacing w:val="-1"/>
          <w:sz w:val="28"/>
          <w:szCs w:val="28"/>
        </w:rPr>
        <w:t xml:space="preserve"> № </w:t>
      </w:r>
      <w:r w:rsidR="00AA211B">
        <w:rPr>
          <w:b w:val="0"/>
          <w:spacing w:val="-1"/>
          <w:sz w:val="28"/>
          <w:szCs w:val="28"/>
        </w:rPr>
        <w:t>164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06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9D7DA1">
        <w:rPr>
          <w:rFonts w:ascii="Times New Roman" w:hAnsi="Times New Roman" w:cs="Times New Roman"/>
          <w:sz w:val="28"/>
          <w:szCs w:val="28"/>
        </w:rPr>
        <w:t>06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381B70" w:rsidRDefault="00561B30" w:rsidP="00381B70">
      <w:pPr>
        <w:ind w:firstLine="538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4D2EBD">
        <w:rPr>
          <w:b w:val="0"/>
          <w:sz w:val="28"/>
          <w:szCs w:val="28"/>
        </w:rPr>
        <w:t>Новосельского</w:t>
      </w:r>
      <w:r w:rsidR="004D2EBD" w:rsidRPr="006523DF">
        <w:rPr>
          <w:b w:val="0"/>
          <w:bCs w:val="0"/>
          <w:sz w:val="28"/>
          <w:szCs w:val="28"/>
        </w:rPr>
        <w:t xml:space="preserve"> 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bCs w:val="0"/>
          <w:sz w:val="28"/>
          <w:szCs w:val="28"/>
        </w:rPr>
        <w:t>сельского</w:t>
      </w:r>
      <w:r w:rsidRPr="006523DF">
        <w:rPr>
          <w:b w:val="0"/>
          <w:sz w:val="28"/>
          <w:szCs w:val="28"/>
        </w:rPr>
        <w:t xml:space="preserve"> поселения</w:t>
      </w:r>
    </w:p>
    <w:p w:rsidR="004D2EBD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>Новокубанского района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>
        <w:rPr>
          <w:b w:val="0"/>
          <w:spacing w:val="-1"/>
          <w:sz w:val="28"/>
          <w:szCs w:val="28"/>
        </w:rPr>
        <w:t>22.09.2022 г. № 164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9D7DA1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Глубокий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поселения Новокубанского района в лице главы Новосельского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FF667D">
        <w:rPr>
          <w:b w:val="0"/>
          <w:sz w:val="28"/>
          <w:szCs w:val="28"/>
        </w:rPr>
        <w:t>3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FF667D" w:rsidRPr="00FF667D">
        <w:rPr>
          <w:b w:val="0"/>
          <w:sz w:val="28"/>
          <w:szCs w:val="28"/>
        </w:rPr>
        <w:t>43 000 (сорок три тысячи)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FF667D" w:rsidRPr="00FF667D">
        <w:rPr>
          <w:b w:val="0"/>
          <w:sz w:val="28"/>
          <w:szCs w:val="28"/>
        </w:rPr>
        <w:t>43</w:t>
      </w:r>
      <w:r w:rsidR="009D7DA1" w:rsidRPr="00FF667D">
        <w:rPr>
          <w:b w:val="0"/>
          <w:sz w:val="28"/>
          <w:szCs w:val="28"/>
        </w:rPr>
        <w:t xml:space="preserve"> </w:t>
      </w:r>
      <w:r w:rsidR="00FF667D" w:rsidRPr="00FF667D">
        <w:rPr>
          <w:b w:val="0"/>
          <w:sz w:val="28"/>
          <w:szCs w:val="28"/>
        </w:rPr>
        <w:t>0</w:t>
      </w:r>
      <w:r w:rsidR="003D3861" w:rsidRPr="00FF667D">
        <w:rPr>
          <w:b w:val="0"/>
          <w:sz w:val="28"/>
          <w:szCs w:val="28"/>
        </w:rPr>
        <w:t>00</w:t>
      </w:r>
      <w:r w:rsidR="00DF4000" w:rsidRPr="00FF667D">
        <w:rPr>
          <w:b w:val="0"/>
          <w:sz w:val="28"/>
          <w:szCs w:val="28"/>
        </w:rPr>
        <w:t xml:space="preserve"> (</w:t>
      </w:r>
      <w:r w:rsidR="00FF667D" w:rsidRPr="00FF667D">
        <w:rPr>
          <w:b w:val="0"/>
          <w:sz w:val="28"/>
          <w:szCs w:val="28"/>
        </w:rPr>
        <w:t>сорок три</w:t>
      </w:r>
      <w:r w:rsidR="00DF4000" w:rsidRPr="00FF667D">
        <w:rPr>
          <w:b w:val="0"/>
          <w:sz w:val="28"/>
          <w:szCs w:val="28"/>
        </w:rPr>
        <w:t xml:space="preserve"> тысяч</w:t>
      </w:r>
      <w:r w:rsidR="00FF667D" w:rsidRPr="00FF667D">
        <w:rPr>
          <w:b w:val="0"/>
          <w:sz w:val="28"/>
          <w:szCs w:val="28"/>
        </w:rPr>
        <w:t>и</w:t>
      </w:r>
      <w:r w:rsidR="00DF4000" w:rsidRPr="00FF667D">
        <w:rPr>
          <w:b w:val="0"/>
          <w:sz w:val="28"/>
          <w:szCs w:val="28"/>
        </w:rPr>
        <w:t>) рублей</w:t>
      </w:r>
      <w:r w:rsidRPr="00FF667D">
        <w:rPr>
          <w:b w:val="0"/>
          <w:sz w:val="28"/>
          <w:szCs w:val="28"/>
        </w:rPr>
        <w:t xml:space="preserve"> путем их перечисления на счет Администрации</w:t>
      </w:r>
      <w:r w:rsidRPr="00466B2B">
        <w:rPr>
          <w:b w:val="0"/>
          <w:sz w:val="28"/>
          <w:szCs w:val="28"/>
        </w:rPr>
        <w:t xml:space="preserve">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FF667D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 xml:space="preserve">, </w:t>
      </w:r>
      <w:proofErr w:type="gramStart"/>
      <w:r w:rsidRPr="00466B2B">
        <w:rPr>
          <w:b w:val="0"/>
          <w:sz w:val="28"/>
          <w:szCs w:val="28"/>
        </w:rPr>
        <w:t>по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следующим</w:t>
      </w:r>
      <w:proofErr w:type="gramEnd"/>
      <w:r w:rsidRPr="00466B2B">
        <w:rPr>
          <w:b w:val="0"/>
          <w:sz w:val="28"/>
          <w:szCs w:val="28"/>
        </w:rPr>
        <w:t xml:space="preserve">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</w:t>
      </w:r>
      <w:r w:rsidR="008D27DF" w:rsidRPr="008D27DF">
        <w:rPr>
          <w:b w:val="0"/>
          <w:sz w:val="28"/>
          <w:szCs w:val="28"/>
        </w:rPr>
        <w:lastRenderedPageBreak/>
        <w:t>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</w:t>
      </w:r>
      <w:r w:rsidRPr="00466B2B">
        <w:rPr>
          <w:b w:val="0"/>
          <w:sz w:val="28"/>
          <w:szCs w:val="28"/>
        </w:rPr>
        <w:lastRenderedPageBreak/>
        <w:t>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FF667D">
        <w:rPr>
          <w:b w:val="0"/>
          <w:sz w:val="28"/>
          <w:szCs w:val="28"/>
        </w:rPr>
        <w:t>3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</w:t>
      </w:r>
      <w:r w:rsidRPr="00466B2B">
        <w:rPr>
          <w:b w:val="0"/>
          <w:sz w:val="28"/>
          <w:szCs w:val="28"/>
        </w:rPr>
        <w:lastRenderedPageBreak/>
        <w:t>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Новосельского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адрес: 352207, Краснодарский край, Новокубанский район, пос. Глубокий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Школьная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13</w:t>
            </w:r>
          </w:p>
          <w:p w:rsidR="00466B2B" w:rsidRPr="002F56E8" w:rsidRDefault="00466B2B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ИНН 2343017853, КПП 234301001</w:t>
            </w:r>
          </w:p>
          <w:p w:rsidR="002F56E8" w:rsidRPr="002F56E8" w:rsidRDefault="00332A83" w:rsidP="002F56E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2F56E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Казначейский счет 03231643036344221800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2F56E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2F56E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БИК </w:t>
            </w:r>
            <w:r w:rsidR="002F56E8" w:rsidRPr="002F56E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2F56E8">
              <w:rPr>
                <w:b w:val="0"/>
                <w:sz w:val="28"/>
                <w:szCs w:val="28"/>
              </w:rPr>
              <w:t>л</w:t>
            </w:r>
            <w:proofErr w:type="gramEnd"/>
            <w:r w:rsidRPr="002F56E8">
              <w:rPr>
                <w:b w:val="0"/>
                <w:sz w:val="28"/>
                <w:szCs w:val="28"/>
              </w:rPr>
              <w:t>/с 03183011720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>
        <w:rPr>
          <w:b w:val="0"/>
          <w:sz w:val="28"/>
          <w:szCs w:val="28"/>
        </w:rPr>
        <w:t>Новосельского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>
        <w:rPr>
          <w:b w:val="0"/>
          <w:spacing w:val="-1"/>
          <w:sz w:val="28"/>
          <w:szCs w:val="28"/>
        </w:rPr>
        <w:t>22.09.2022 г. № 164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FF667D">
        <w:rPr>
          <w:b w:val="0"/>
          <w:sz w:val="28"/>
          <w:szCs w:val="28"/>
        </w:rPr>
        <w:t>688 800,0 рублей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FF667D">
        <w:rPr>
          <w:b w:val="0"/>
          <w:sz w:val="28"/>
          <w:szCs w:val="28"/>
        </w:rPr>
        <w:t>688 800,0</w:t>
      </w:r>
      <w:r w:rsidRPr="002E2F7B">
        <w:rPr>
          <w:b w:val="0"/>
          <w:sz w:val="28"/>
          <w:szCs w:val="28"/>
        </w:rPr>
        <w:t xml:space="preserve"> рублей*1,0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</w:t>
      </w:r>
      <w:r w:rsidR="009D7DA1">
        <w:rPr>
          <w:b w:val="0"/>
          <w:sz w:val="28"/>
          <w:szCs w:val="28"/>
        </w:rPr>
        <w:t>6</w:t>
      </w:r>
      <w:r w:rsidRPr="002E2F7B">
        <w:rPr>
          <w:b w:val="0"/>
          <w:sz w:val="28"/>
          <w:szCs w:val="28"/>
        </w:rPr>
        <w:t xml:space="preserve"> = </w:t>
      </w:r>
      <w:r w:rsidR="00FF667D">
        <w:rPr>
          <w:b w:val="0"/>
          <w:sz w:val="28"/>
          <w:szCs w:val="28"/>
        </w:rPr>
        <w:t>43</w:t>
      </w:r>
      <w:r w:rsidR="00166E9E">
        <w:rPr>
          <w:b w:val="0"/>
          <w:sz w:val="28"/>
          <w:szCs w:val="28"/>
        </w:rPr>
        <w:t> </w:t>
      </w:r>
      <w:r w:rsidR="00FF667D">
        <w:rPr>
          <w:b w:val="0"/>
          <w:sz w:val="28"/>
          <w:szCs w:val="28"/>
        </w:rPr>
        <w:t>0</w:t>
      </w:r>
      <w:r w:rsidR="00166E9E">
        <w:rPr>
          <w:b w:val="0"/>
          <w:sz w:val="28"/>
          <w:szCs w:val="28"/>
        </w:rPr>
        <w:t>00,0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Глава Новосельского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Pr="002E2F7B">
        <w:rPr>
          <w:b w:val="0"/>
          <w:sz w:val="28"/>
          <w:szCs w:val="28"/>
        </w:rPr>
        <w:t>А.Е.Колесников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E5" w:rsidRDefault="00CE71E5" w:rsidP="00CE7E95">
      <w:r>
        <w:separator/>
      </w:r>
    </w:p>
  </w:endnote>
  <w:endnote w:type="continuationSeparator" w:id="0">
    <w:p w:rsidR="00CE71E5" w:rsidRDefault="00CE71E5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E5" w:rsidRDefault="00CE71E5" w:rsidP="00CE7E95">
      <w:r>
        <w:separator/>
      </w:r>
    </w:p>
  </w:footnote>
  <w:footnote w:type="continuationSeparator" w:id="0">
    <w:p w:rsidR="00CE71E5" w:rsidRDefault="00CE71E5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884880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CE7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405A0"/>
    <w:rsid w:val="00077F7C"/>
    <w:rsid w:val="000D4CA1"/>
    <w:rsid w:val="001430B7"/>
    <w:rsid w:val="00145211"/>
    <w:rsid w:val="00161134"/>
    <w:rsid w:val="00166E9E"/>
    <w:rsid w:val="00181997"/>
    <w:rsid w:val="001A07B8"/>
    <w:rsid w:val="001C536E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7219B"/>
    <w:rsid w:val="00381B70"/>
    <w:rsid w:val="003C63DB"/>
    <w:rsid w:val="003D3861"/>
    <w:rsid w:val="00466B2B"/>
    <w:rsid w:val="00474833"/>
    <w:rsid w:val="00480D27"/>
    <w:rsid w:val="004A4EC2"/>
    <w:rsid w:val="004D2EBD"/>
    <w:rsid w:val="00507D24"/>
    <w:rsid w:val="005147BB"/>
    <w:rsid w:val="00532AE2"/>
    <w:rsid w:val="00561B30"/>
    <w:rsid w:val="00575151"/>
    <w:rsid w:val="005B5668"/>
    <w:rsid w:val="005F5F7E"/>
    <w:rsid w:val="00620E8D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64393"/>
    <w:rsid w:val="00772A23"/>
    <w:rsid w:val="00822DEF"/>
    <w:rsid w:val="00853083"/>
    <w:rsid w:val="00862C3D"/>
    <w:rsid w:val="008638F5"/>
    <w:rsid w:val="00871DF4"/>
    <w:rsid w:val="00884880"/>
    <w:rsid w:val="008953C8"/>
    <w:rsid w:val="008D27DF"/>
    <w:rsid w:val="009407C1"/>
    <w:rsid w:val="00991D90"/>
    <w:rsid w:val="009927CD"/>
    <w:rsid w:val="009A1461"/>
    <w:rsid w:val="009D7DA1"/>
    <w:rsid w:val="00A06E64"/>
    <w:rsid w:val="00A2775B"/>
    <w:rsid w:val="00A5249E"/>
    <w:rsid w:val="00A738B9"/>
    <w:rsid w:val="00A86D36"/>
    <w:rsid w:val="00A968A9"/>
    <w:rsid w:val="00AA211B"/>
    <w:rsid w:val="00AC3C30"/>
    <w:rsid w:val="00AF0A3D"/>
    <w:rsid w:val="00B52FC2"/>
    <w:rsid w:val="00B66A1F"/>
    <w:rsid w:val="00BB2191"/>
    <w:rsid w:val="00BD71C8"/>
    <w:rsid w:val="00BF719C"/>
    <w:rsid w:val="00C125FD"/>
    <w:rsid w:val="00C157E7"/>
    <w:rsid w:val="00C2235F"/>
    <w:rsid w:val="00C44857"/>
    <w:rsid w:val="00C515E7"/>
    <w:rsid w:val="00C5221C"/>
    <w:rsid w:val="00C6511E"/>
    <w:rsid w:val="00C77726"/>
    <w:rsid w:val="00C900EC"/>
    <w:rsid w:val="00C96A68"/>
    <w:rsid w:val="00CB0DAF"/>
    <w:rsid w:val="00CE1D05"/>
    <w:rsid w:val="00CE71E5"/>
    <w:rsid w:val="00CE7E95"/>
    <w:rsid w:val="00D21BFE"/>
    <w:rsid w:val="00DB16E0"/>
    <w:rsid w:val="00DF23FB"/>
    <w:rsid w:val="00DF4000"/>
    <w:rsid w:val="00DF712C"/>
    <w:rsid w:val="00E116B3"/>
    <w:rsid w:val="00E147CF"/>
    <w:rsid w:val="00E17AE5"/>
    <w:rsid w:val="00E745FB"/>
    <w:rsid w:val="00F0243D"/>
    <w:rsid w:val="00F16F7E"/>
    <w:rsid w:val="00F65649"/>
    <w:rsid w:val="00F9043C"/>
    <w:rsid w:val="00FB3AFA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2020-11-19T12:04:00Z</cp:lastPrinted>
  <dcterms:created xsi:type="dcterms:W3CDTF">2019-11-27T10:57:00Z</dcterms:created>
  <dcterms:modified xsi:type="dcterms:W3CDTF">2022-09-26T07:52:00Z</dcterms:modified>
</cp:coreProperties>
</file>