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92" w:rsidRPr="00FD2707" w:rsidRDefault="001C4A92" w:rsidP="001C4A92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4A92" w:rsidRPr="001275CC" w:rsidRDefault="001C4A92" w:rsidP="001C4A9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75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4A92" w:rsidRPr="001275CC" w:rsidRDefault="001C4A92" w:rsidP="001C4A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C">
        <w:rPr>
          <w:rFonts w:ascii="Times New Roman" w:hAnsi="Times New Roman" w:cs="Times New Roman"/>
          <w:b/>
          <w:sz w:val="28"/>
          <w:szCs w:val="28"/>
        </w:rPr>
        <w:t>АДМИНИСТРАЦИИ НОВОСЕЛЬСКОГО СЕЛЬСКОГО ПОСЕЛЕНИЯ НОВОКУБАНСКОГО РАЙОНА</w:t>
      </w:r>
    </w:p>
    <w:p w:rsidR="001C4A92" w:rsidRPr="001275CC" w:rsidRDefault="001C4A92" w:rsidP="001C4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A92" w:rsidRPr="001275CC" w:rsidRDefault="001C4A92" w:rsidP="001C4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A92" w:rsidRPr="001275CC" w:rsidRDefault="001C4A92" w:rsidP="001C4A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5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4A92" w:rsidRDefault="001C4A92" w:rsidP="001C4A92">
      <w:pPr>
        <w:pStyle w:val="1"/>
        <w:spacing w:before="0" w:after="0"/>
        <w:rPr>
          <w:rStyle w:val="a9"/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275CC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End"/>
      <w:r w:rsidRPr="001275CC">
        <w:rPr>
          <w:rFonts w:ascii="Times New Roman" w:hAnsi="Times New Roman" w:cs="Times New Roman"/>
          <w:b w:val="0"/>
          <w:color w:val="auto"/>
          <w:sz w:val="28"/>
          <w:szCs w:val="28"/>
        </w:rPr>
        <w:t>лубокий</w:t>
      </w:r>
    </w:p>
    <w:p w:rsidR="00D913DA" w:rsidRPr="00D913DA" w:rsidRDefault="00D913DA" w:rsidP="00D913DA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</w:p>
    <w:p w:rsidR="00B9292F" w:rsidRPr="001C4A92" w:rsidRDefault="00B9292F" w:rsidP="003F4C70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предоставлении бюджетных инвестиций юридическим лицам, не являющимся </w:t>
      </w:r>
      <w:r w:rsidR="00EA308A" w:rsidRPr="001C4A92">
        <w:rPr>
          <w:rFonts w:ascii="Times New Roman" w:hAnsi="Times New Roman" w:cs="Times New Roman"/>
          <w:b/>
          <w:sz w:val="28"/>
          <w:szCs w:val="28"/>
        </w:rPr>
        <w:t>муниципальными учреждениями или муниципальными унитарными предприятиями, в объекты капитального строительства</w:t>
      </w:r>
      <w:r w:rsidR="00285812" w:rsidRPr="001C4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находящиеся в собственности указанных юридических лиц</w:t>
      </w:r>
      <w:r w:rsidR="00B0512B" w:rsidRPr="001C4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EA308A" w:rsidRPr="001C4A92">
        <w:rPr>
          <w:rFonts w:ascii="Times New Roman" w:hAnsi="Times New Roman" w:cs="Times New Roman"/>
          <w:b/>
          <w:sz w:val="28"/>
          <w:szCs w:val="28"/>
        </w:rPr>
        <w:t xml:space="preserve"> и (или) на приобретение </w:t>
      </w:r>
      <w:r w:rsidR="00285812" w:rsidRPr="001C4A92"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="00EA308A" w:rsidRPr="001C4A92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за счет средств бюджета </w:t>
      </w:r>
      <w:r w:rsidR="001C4A92" w:rsidRPr="001C4A92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Новокубанского района</w:t>
      </w:r>
      <w:proofErr w:type="gramEnd"/>
    </w:p>
    <w:p w:rsidR="003F4C70" w:rsidRPr="001C4A92" w:rsidRDefault="003F4C70" w:rsidP="003F4C7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4C70" w:rsidRPr="001C4A92" w:rsidRDefault="003F4C70" w:rsidP="003F4C7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92F" w:rsidRPr="001C4A92" w:rsidRDefault="00B9292F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В соответствии со статьей 80 Бюджетного кодекса Российской Федерации постановляю:</w:t>
      </w:r>
    </w:p>
    <w:p w:rsidR="00B9292F" w:rsidRPr="001C4A92" w:rsidRDefault="00B9292F" w:rsidP="00C3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1C4A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предоставлении бюджетных инвестиций юридическим лицам, не </w:t>
      </w:r>
      <w:r w:rsidR="00EA308A" w:rsidRPr="001C4A92">
        <w:rPr>
          <w:rFonts w:ascii="Times New Roman" w:hAnsi="Times New Roman" w:cs="Times New Roman"/>
          <w:sz w:val="28"/>
          <w:szCs w:val="28"/>
        </w:rPr>
        <w:t xml:space="preserve">являющимся муниципальными учреждениями </w:t>
      </w:r>
      <w:r w:rsidRPr="001C4A92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</w:t>
      </w:r>
      <w:r w:rsidR="009E3C81" w:rsidRPr="001C4A92">
        <w:rPr>
          <w:rFonts w:ascii="Times New Roman" w:hAnsi="Times New Roman" w:cs="Times New Roman"/>
          <w:sz w:val="28"/>
          <w:szCs w:val="28"/>
        </w:rPr>
        <w:t>екты капитального строительства</w:t>
      </w:r>
      <w:r w:rsidR="009E3C81"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находящиеся в собственности указанных юридических лиц</w:t>
      </w:r>
      <w:r w:rsidR="00B0512B"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bookmarkStart w:id="1" w:name="_GoBack"/>
      <w:bookmarkEnd w:id="1"/>
      <w:r w:rsidR="009E3C81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и (или) на приобретение </w:t>
      </w:r>
      <w:r w:rsidR="009E3C81" w:rsidRPr="001C4A92">
        <w:rPr>
          <w:rFonts w:ascii="Times New Roman" w:hAnsi="Times New Roman" w:cs="Times New Roman"/>
          <w:sz w:val="28"/>
          <w:szCs w:val="28"/>
        </w:rPr>
        <w:t xml:space="preserve">ими </w:t>
      </w:r>
      <w:r w:rsidRPr="001C4A9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за счет средств </w:t>
      </w:r>
      <w:r w:rsidR="00EA308A" w:rsidRPr="001C4A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</w:t>
      </w:r>
      <w:proofErr w:type="gramEnd"/>
    </w:p>
    <w:p w:rsidR="00EA308A" w:rsidRPr="001C4A92" w:rsidRDefault="00EA308A" w:rsidP="00C33E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C4A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EA308A" w:rsidRPr="001C4A92" w:rsidRDefault="00EA308A" w:rsidP="00C33E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="001E3CFC" w:rsidRPr="001C4A92">
        <w:rPr>
          <w:rFonts w:ascii="Times New Roman" w:hAnsi="Times New Roman" w:cs="Times New Roman"/>
          <w:sz w:val="28"/>
          <w:szCs w:val="28"/>
        </w:rPr>
        <w:t>(обнародования)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EA308A" w:rsidRPr="001C4A92" w:rsidRDefault="00EA308A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308A" w:rsidRPr="001C4A92" w:rsidRDefault="00EA308A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308A" w:rsidRPr="001C4A92" w:rsidRDefault="00EA308A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4A92" w:rsidRDefault="001C4A92" w:rsidP="001C4A92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1C4A92" w:rsidRDefault="001C4A92" w:rsidP="001C4A92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  <w:sectPr w:rsidR="001C4A92" w:rsidSect="00BA5258">
          <w:headerReference w:type="default" r:id="rId7"/>
          <w:pgSz w:w="11900" w:h="16800"/>
          <w:pgMar w:top="28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Колесников</w:t>
      </w:r>
    </w:p>
    <w:p w:rsidR="00444DA9" w:rsidRPr="001C4A92" w:rsidRDefault="00444DA9" w:rsidP="001C4A92">
      <w:pPr>
        <w:ind w:firstLine="5387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1C4A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913DA" w:rsidRPr="001C4A92" w:rsidRDefault="00444DA9" w:rsidP="001C4A9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44DA9" w:rsidRPr="001C4A92" w:rsidRDefault="001C4A92" w:rsidP="001C4A92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</w:p>
    <w:p w:rsidR="00444DA9" w:rsidRPr="001C4A92" w:rsidRDefault="001C4A92" w:rsidP="001C4A92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4DA9" w:rsidRPr="001C4A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 № ________</w:t>
      </w:r>
    </w:p>
    <w:p w:rsidR="00D913DA" w:rsidRPr="001C4A92" w:rsidRDefault="00D913DA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13DA" w:rsidRPr="001C4A92" w:rsidRDefault="00D913DA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ПОРЯДОК</w:t>
      </w:r>
    </w:p>
    <w:p w:rsidR="00444DA9" w:rsidRDefault="00444DA9" w:rsidP="001C4A9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b/>
          <w:sz w:val="28"/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</w:t>
      </w:r>
      <w:r w:rsidRPr="001C4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находящиеся в собственности указанных юридических лиц,</w:t>
      </w:r>
      <w:r w:rsidRPr="001C4A92">
        <w:rPr>
          <w:rFonts w:ascii="Times New Roman" w:hAnsi="Times New Roman" w:cs="Times New Roman"/>
          <w:b/>
          <w:sz w:val="28"/>
          <w:szCs w:val="28"/>
        </w:rPr>
        <w:t xml:space="preserve"> и (или) на приобретение ими объектов недвижимого имущества за счет средств бюджета </w:t>
      </w:r>
      <w:r w:rsidR="001C4A92" w:rsidRPr="001C4A92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Новокубанского района</w:t>
      </w:r>
      <w:proofErr w:type="gramEnd"/>
    </w:p>
    <w:p w:rsidR="001C4A92" w:rsidRPr="001C4A92" w:rsidRDefault="001C4A92" w:rsidP="001C4A9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A9" w:rsidRPr="001C4A92" w:rsidRDefault="00444DA9" w:rsidP="00D913D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13DA" w:rsidRPr="001C4A92" w:rsidRDefault="00D913DA" w:rsidP="00D913DA">
      <w:pPr>
        <w:pStyle w:val="ConsPlusNormal"/>
        <w:ind w:left="567"/>
        <w:outlineLvl w:val="1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- хозяйственные общества), в объекты капитального строительства (на строительство, реконструкцию, в том числе с элементами реставрации, техническое перевооружение), </w:t>
      </w:r>
      <w:r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находящиеся в собственности указанных юридических лиц,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 (или) на приобретение ими объектов недвижимого имущества, из бюджета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соответственно - бюджетные инвестиции, решение о предоставлении бюджетных инвестиций).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1.2. Инициатором подготовки проекта решения о предоставлении бюджетных инвестиций выступает администрация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C4A92">
        <w:rPr>
          <w:rFonts w:ascii="Times New Roman" w:hAnsi="Times New Roman" w:cs="Times New Roman"/>
          <w:sz w:val="28"/>
          <w:szCs w:val="28"/>
        </w:rPr>
        <w:t>главы 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1.3. Отбор объектов капитального строительства (в строительство, реконструкцию, в том числе с элементами реставрации, техническое перевооружение) и (или) объектов недвижимого имущества, для приобретения которых необходимо осуществлять бюджетные инвестиции, производится с учетом: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исходя из стратегии социально-экономического развития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(в том числе прогнозов социально-экономического развития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1C4A92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на среднесрочный и долгосрочный период, схемы территориального планирования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);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соответствия целей направления бюджетных инвестиций целям, установленным статьей 19 Федерального закона от 26 июля 2006 года № 135-ФЗ «О защите конкуренции», и полномочиям органов местного самоуправления, установленным законодательством Российской Федерации;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заключения о результатах проверки инвестиционного проекта на предмет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proofErr w:type="gramEnd"/>
      <w:r w:rsidR="001C4A92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или интегральной оценки, числовое значение которой соответствует или превышает установленное предельное (минимальное) значение, равное 70 процентам, подготовленных в случае необходимости.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хозяйственным обществам по решениям, принятым в соответствии с настоящим Порядком, влечет в соответствии со статьей 80 Бюджетного кодекса Российской Федерации возникновение права собственности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на эквивалентную часть уставных капиталов указанных хозяйственных обществ, которое оформляется участием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уставных капиталах таких обществ.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1.5.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утверждаются решением Совета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 бюджете путем включения в данное решение текстовой статьи с указанием хозяйственного общества, объема и цели выделяемых бюджетных ассигнований.</w:t>
      </w:r>
    </w:p>
    <w:p w:rsidR="00444DA9" w:rsidRPr="001C4A92" w:rsidRDefault="00444DA9" w:rsidP="00D913D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1C4A92">
        <w:rPr>
          <w:rFonts w:ascii="Times New Roman" w:hAnsi="Times New Roman" w:cs="Times New Roman"/>
          <w:sz w:val="28"/>
          <w:szCs w:val="28"/>
        </w:rPr>
        <w:t xml:space="preserve">1.6. После утверждения решением о бюджете бюджетных инвестиций хозяйственному обществу, уполномоченным органом на приобретение акций (долей) хозяйственных обществ осуществляется согласование проекта решения о предоставлении бюджетных инвестиций с </w:t>
      </w:r>
      <w:r w:rsidR="001C4A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В случае если права акционера (участника) хозяйственного общества, которому предоставляются бюджетные инвестиции, осуществляет не уполномоченный орган на приобретение акций (долей) хозяйственного общества, согласование проекта решения о предоставлении бюджетных инвестиций осуществляется также администраци</w:t>
      </w:r>
      <w:r w:rsidR="001C4A92">
        <w:rPr>
          <w:rFonts w:ascii="Times New Roman" w:hAnsi="Times New Roman" w:cs="Times New Roman"/>
          <w:sz w:val="28"/>
          <w:szCs w:val="28"/>
        </w:rPr>
        <w:t>ей</w:t>
      </w:r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(лицом), осуществляющим от имени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права акционера (участника) хозяйственного общества.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2. Порядок принятия решения о предоставлении</w:t>
      </w:r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бюджетных инвестиций, включающего в себя приобретение</w:t>
      </w:r>
      <w:proofErr w:type="gramEnd"/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в казну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1C4A92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>оимостью более трех миллионов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1C4A92">
        <w:rPr>
          <w:rFonts w:ascii="Times New Roman" w:hAnsi="Times New Roman" w:cs="Times New Roman"/>
          <w:sz w:val="28"/>
          <w:szCs w:val="28"/>
        </w:rPr>
        <w:t xml:space="preserve">2.1. Хозяйственное общество направляет в адрес уполномоченного органа на приобретение акций (долей) хозяйственных обществ обращение о приобретении в собственность </w:t>
      </w:r>
      <w:r w:rsid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акций (долей) хозяйственного общества, которое должно содержать следующую информацию: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основные виды деятельности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lastRenderedPageBreak/>
        <w:t>цель планируемых к предоставлению бюджетных инвестиций и приобретения акций (долей) хозяйственного общества в соответствии с положениями Федерального закона от 26 июля 2006 года № 135-ФЗ «О защите конкуренции»;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состав акционеров (участников)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величина уставного капитала и стоимость чистых активов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финансовое состояние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величина предлагаемого к приобретению </w:t>
      </w:r>
      <w:r w:rsidR="001C4A92">
        <w:rPr>
          <w:rFonts w:ascii="Times New Roman" w:hAnsi="Times New Roman" w:cs="Times New Roman"/>
          <w:sz w:val="28"/>
          <w:szCs w:val="28"/>
        </w:rPr>
        <w:t>Новосельским сельским поселением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пакета акций (долей) и предполагаемая цена покупки;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планируемые сроки предоставления бюджетных инвестиций с поквартальной разбивкой;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план-график выполнения хозяйственным обществом заявленных мероприятий, на реализацию которых направляются бюджетные инвестиции, с указанием ответственных за их реализацию.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К обращению хозяйственного общества должны прилагаться: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предлагаемого участия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в хозяйственном обществе;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проспект акций, зарегистрированный в случаях и порядке, установленных законодательством;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бухгалтерская и статистическая отчетность хозяйственного общества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последние 3 года;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заключение независимого аудитора о результатах деятельности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отчеты об оценке не денежных вкладов в уставный капитал хозяйственного общества, составленные в соответствии с требованиями законодательства;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отчет об оценке приобретаемого пакета акций (долей) либо отчет об оценке одной акции, необходимый для определения в установленном законодательством порядке цены размещения дополнительных акций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показатели финансово-хозяйственной деятельности хозяйственного общества за последний отчетный год и год, предшествующий отчетному, а также в форме прогноза перспективных результатов деятельности через 3 года (в соответствии с установленными периодами бюджетного планирования) в двух вариантах: при условии предоставления бюджетных инвестиций из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и без предоставления бюджетных инвестиций из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Уполномоченный орган на приобретение акций (долей) хозяйственных обществ осуществляет прием и регистрацию документов хозяйственного общества в день их поступления.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2.2. Уполномоченный орган на приобретение 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оводит проверку соответствия пакета документов, представленного </w:t>
      </w:r>
      <w:r w:rsidRPr="001C4A92">
        <w:rPr>
          <w:rFonts w:ascii="Times New Roman" w:hAnsi="Times New Roman" w:cs="Times New Roman"/>
          <w:sz w:val="28"/>
          <w:szCs w:val="28"/>
        </w:rPr>
        <w:lastRenderedPageBreak/>
        <w:t>хозяйственным обществом, требованиям, установленным в пункте 2.1 настоящего Порядка.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или проводит интегральную оценку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в порядке, установленном постановлением администрации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от </w:t>
      </w:r>
      <w:r w:rsidR="00B424CC">
        <w:rPr>
          <w:rFonts w:ascii="Times New Roman" w:hAnsi="Times New Roman" w:cs="Times New Roman"/>
          <w:sz w:val="28"/>
          <w:szCs w:val="28"/>
        </w:rPr>
        <w:t>_________ № __________</w:t>
      </w:r>
      <w:r w:rsidRPr="001C4A9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порядке проведения проверки инвестиционных проектов на предмет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proofErr w:type="gramEnd"/>
      <w:r w:rsidR="00B424C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вложения».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Срок проведения проверки пакета документов составляет 27 календарных дней со дня его поступления в уполномоченный орган на приобретение акций (долей) хозяйственных обществ.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требованиям, установленным пунктом 2.1 настоящего Порядка, а также о результатах интегральной оценки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либо о возврате пакета документов с указанием причин возврата.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в течение 3 рабочих дней с даты получения в случае необходимости заключения, подготовленного в соответствии с постановлением администрации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от </w:t>
      </w:r>
      <w:r w:rsidR="00B424CC">
        <w:rPr>
          <w:rFonts w:ascii="Times New Roman" w:hAnsi="Times New Roman" w:cs="Times New Roman"/>
          <w:sz w:val="28"/>
          <w:szCs w:val="28"/>
        </w:rPr>
        <w:t>__________ № _________</w:t>
      </w:r>
      <w:r w:rsidRPr="001C4A92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проектов на предмет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вложения», уведомляет хозяйственное общество о соответствии или несоответствии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инвестиционного проекта установленным критериям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proofErr w:type="gramEnd"/>
      <w:r w:rsidR="00B424C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либо о возврате пакета документов с указанием причин возврата.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на основании представленного хозяйственным обществом пакета документов, сформированного в соответствии с пунктом 2.1 настоящего Порядка, при наличии положительного заключения о результатах проверки инвестиционного проекта на предмет эффективности использования средств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 или интегральной оценки, числовое значение которой соответствует или превышает установленное предельное (минимальное) значение, равное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70 процентам, направляет администраци</w:t>
      </w:r>
      <w:r w:rsidR="00B424CC">
        <w:rPr>
          <w:rFonts w:ascii="Times New Roman" w:hAnsi="Times New Roman" w:cs="Times New Roman"/>
          <w:sz w:val="28"/>
          <w:szCs w:val="28"/>
        </w:rPr>
        <w:t>ю</w:t>
      </w:r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B424CC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B424CC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представление (предложение) об участии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в хозяйственном обществе.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2.4. </w:t>
      </w:r>
      <w:r w:rsidR="00B424CC">
        <w:rPr>
          <w:rFonts w:ascii="Times New Roman" w:hAnsi="Times New Roman" w:cs="Times New Roman"/>
          <w:sz w:val="28"/>
          <w:szCs w:val="28"/>
        </w:rPr>
        <w:t>А</w:t>
      </w:r>
      <w:r w:rsidRPr="001C4A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анализирует представления (предложения) об участии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хозяйственном обществе и выдает заключение о целесообразности приобретения акций (долей) хозяйственных обществ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(далее - заключение).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2.5. Заключение должно содержать мотивированные выводы о соответствии (далее - положительное заключение) или несоответствии (далее - отрицательное заключение) представлений (предложений) об участии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в хозяйственном обществе.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2.6. Заключение направляется уполномоченному органу на приобретение 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я подготовки проектов: постановления администрации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и решения Совета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В случае получения отрицательного заключения уполномоченный орган на приобретение 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впр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>аве направить представления (предложения) для повторной оценки при условии их доработки хозяйственным обществом с учетом замечаний, изложенных в заключении.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2.7. Заключение является документом, необходимым для рассмотрения Советом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вопроса о даче согласия на приобретение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>оимостью более трех миллионов.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2.8. На основании положительного заключения и при условии согласия Совета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на приобретение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акций (долей) хозяйственных обществ уполномоченным органом на приобретение акций (долей) хозяйственных обществ направляются соответствующие предложения о планировании бюджетных ассигнований в администраци</w:t>
      </w:r>
      <w:r w:rsidR="00B424CC">
        <w:rPr>
          <w:rFonts w:ascii="Times New Roman" w:hAnsi="Times New Roman" w:cs="Times New Roman"/>
          <w:sz w:val="28"/>
          <w:szCs w:val="28"/>
        </w:rPr>
        <w:t>ю</w:t>
      </w:r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бюджетных инвестиций, включающего в себя решение о приобретении акций (долей) хозяйственного общества, осуществляется уполномоченным органом на приобретение акций (долей) хозяйственных обществ после утверждения решения о бюджете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путем включения в данное решение текстовой статьи с указанием хозяйственного общества, объема и цели выделяемых бюджетных ассигнований.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Процедуры по увеличению (формированию) уставного капитала хозяйственного общества путем приобретения акций (долей) хозяйственных обществ стоимостью более трех миллионов рублей производятся администрацией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424CC">
        <w:rPr>
          <w:rFonts w:ascii="Times New Roman" w:hAnsi="Times New Roman" w:cs="Times New Roman"/>
          <w:sz w:val="28"/>
          <w:szCs w:val="28"/>
        </w:rPr>
        <w:t>главы 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A92">
        <w:rPr>
          <w:rFonts w:ascii="Times New Roman" w:hAnsi="Times New Roman" w:cs="Times New Roman"/>
          <w:sz w:val="28"/>
          <w:szCs w:val="28"/>
        </w:rPr>
        <w:lastRenderedPageBreak/>
        <w:t xml:space="preserve">иного органа, являющегося главным распорядителем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осуществляющего от имени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права акционера (участника) хозяйственного общества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при наличии проекта решения о предоставлении бюджетных инвестиций в пределах лимитов бюджетных обязательств и бюджетных ассигнований, утвержденных в бюджете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:rsidR="00444DA9" w:rsidRPr="001C4A92" w:rsidRDefault="00444DA9" w:rsidP="00D913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 Порядок принятия решения о предоставлении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инвестиций, включающего в себя приобретение акций (долей)</w:t>
      </w:r>
      <w:proofErr w:type="gramEnd"/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хозяйственных обществ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стоимостью менее трех миллионов рублей</w:t>
      </w:r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3.1. Хозяйственное общество направляет в адрес уполномоченного органа на приобретение акций (долей) хозяйственных обществ обращение о приобретении в собственность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акций (долей) хозяйственного общества с приложением документов, указанных в пункте 2.1 настоящего Порядка.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Уполномоченный орган на приобретение акций (долей) хозяйственных обществ осуществляет прием и регистрацию документов хозяйственного общества в день их поступления.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проводит проверку соответствия пакета документов, представленного хозяйственным обществом, требованиям, установленным в </w:t>
      </w:r>
      <w:hyperlink w:anchor="P79" w:history="1">
        <w:r w:rsidRPr="001C4A9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C4A92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проводит интегральную оценку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от </w:t>
      </w:r>
      <w:r w:rsidR="00B424CC">
        <w:rPr>
          <w:rFonts w:ascii="Times New Roman" w:hAnsi="Times New Roman" w:cs="Times New Roman"/>
          <w:sz w:val="28"/>
          <w:szCs w:val="28"/>
        </w:rPr>
        <w:t>________ № __________</w:t>
      </w:r>
      <w:r w:rsidRPr="001C4A92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проектов на предмет эффективности использования средств бюджета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на капитальные вложения».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Срок проверки пакета документов и подготовки интегральной оценки составляет 27 календарных дней со дня поступления пакета документов в уполномоченный орган на приобретение акций (долей) хозяйственных обществ.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требованиям, установленным в пункте 2.1 настоящего Порядка, а также о результатах интегральной оценки эффективности использования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либо о возврате пакета документов с указанием причин возврата.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</w:t>
      </w:r>
      <w:r w:rsidRPr="001C4A92">
        <w:rPr>
          <w:rFonts w:ascii="Times New Roman" w:hAnsi="Times New Roman" w:cs="Times New Roman"/>
          <w:sz w:val="28"/>
          <w:szCs w:val="28"/>
        </w:rPr>
        <w:lastRenderedPageBreak/>
        <w:t xml:space="preserve">обществ в течение 10 рабочих дней со дня уведомления хозяйственного общества о соответствии пакета документов требованиям, установленным пунктом 2.1 настоящего Порядка, а также при наличии интегральной оценки, числовое значение которой соответствует или превышает установленное предельное (минимальное) значение, равное 70 процентам, подготавливает представление (предложение) о целесообразности приобретения акций (долей)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proofErr w:type="gramEnd"/>
      <w:r w:rsidR="00B424C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3.4. Представление уполномоченного органа на приобретение акций (долей) хозяйственных обще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ючает в себя раздел с предложениями об участии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в хозяйственном обществе.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Представление уполномоченного органа на приобретение акций (долей) хозяйственных обществ 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хозяйственном обществе.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3.5. Уполномоченным органом на приобретение акций (долей) хозяйственных обществ в течение 5 рабочих дней после подготовки представления (предложения) о целесообразности приобретения акций (долей)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принимается положительное заключение о целесообразности приобретения акций (долей) хозяйственных обществ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Уполномоченным органом на приобретение акций (долей) хозяйственных обществ в течение 3 рабочих дней после подготовки положительного заключения о целесообразности приобретения акций (долей) направляются соответствующие предложения о планировании бюджетных ассигнований в администраци</w:t>
      </w:r>
      <w:r w:rsidR="00B424CC">
        <w:rPr>
          <w:rFonts w:ascii="Times New Roman" w:hAnsi="Times New Roman" w:cs="Times New Roman"/>
          <w:sz w:val="28"/>
          <w:szCs w:val="28"/>
        </w:rPr>
        <w:t>ю</w:t>
      </w:r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Решение о предоставлении бюджетных инвестиций, включающее в себя решение о приобретении акций (долей) хозяйственных обществ стоимостью менее трех миллионов рублей, принимается по представлению (предложению) уполномоченного органа на приобретение акций (долей) хозяйственных обществ о целесообразности приобретения акций (долей) хозяйственных обществ в казну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и бюджетных ассигнований, утвержденных в бюджете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proofErr w:type="gramEnd"/>
      <w:r w:rsidR="00B424C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эти цели.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бюджетных инвестиций, включающего в себя решение о приобретении акций (долей) хозяйственного общества, осуществляется уполномоченным органом на приобретение акций (долей) хозяйственных обществ после утверждения решения Совета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 бюджете путем включения в данное решение текстовой статьи с указанием хозяйственного общества, объема и цели выделяемых бюджетных ассигнований.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Процедуры по увеличению (формированию) уставного капитала </w:t>
      </w:r>
      <w:r w:rsidRPr="001C4A9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общества путем приобретения акций (долей) хозяйственных обществ стоимостью менее трех миллионов рублей производятся администрацией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424CC">
        <w:rPr>
          <w:rFonts w:ascii="Times New Roman" w:hAnsi="Times New Roman" w:cs="Times New Roman"/>
          <w:sz w:val="28"/>
          <w:szCs w:val="28"/>
        </w:rPr>
        <w:t>главы 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или иного органа, являющегося главным распорядителем средств бюджета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осуществляющего от имени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права акционера (участника) хозяйственного общества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при наличии проекта решения о предоставлении бюджетных инвестиций в пределах лимитов бюджетных обязательств и бюджетных ассигнований, утвержденных в бюджете </w:t>
      </w:r>
      <w:r w:rsidR="00B424C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B424CC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:rsidR="00444DA9" w:rsidRPr="001C4A92" w:rsidRDefault="00444DA9" w:rsidP="00D913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4. Принятие решения о предоставлении бюджетных инвестиций</w:t>
      </w:r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Уполномоченный орган на приобретение акций (долей) хозяйственных обществ подготавливает проект решения о предоставлении бюджетных инвестиций в форме проекта нормативного правового акта администрации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который включает в себя решение о приобретении в казну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акций (долей) хозяйственных обществ, и осуществляет его согласование в соответствии с пунктом 1.6 настоящего Порядка.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бюджетных инвестиций в рамках муниципальной программы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(подпрограммы), ведомственной целевой программы уполномоченный орган на приобретение акций (долей) хозяйственных обществ обеспечивает включение проекта решения в соответствующую муниципальную программу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922C51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(подпрограмму), ведомственную целевую программу и согласовывает его с координатором муниципальной программы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ведомственной целевой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программы в случае, если он не является одновременно ее координатором.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бюджетных инвестиций в рамках муниципальных программ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922C51" w:rsidRPr="001C4A92">
        <w:rPr>
          <w:rFonts w:ascii="Times New Roman" w:hAnsi="Times New Roman" w:cs="Times New Roman"/>
          <w:sz w:val="28"/>
          <w:szCs w:val="28"/>
        </w:rPr>
        <w:t xml:space="preserve"> </w:t>
      </w:r>
      <w:r w:rsidRPr="001C4A92">
        <w:rPr>
          <w:rFonts w:ascii="Times New Roman" w:hAnsi="Times New Roman" w:cs="Times New Roman"/>
          <w:sz w:val="28"/>
          <w:szCs w:val="28"/>
        </w:rPr>
        <w:t xml:space="preserve">(подпрограмм), ведомственных целевых программ оформляется путем дополнения муниципальных программ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(подпрограмм), ведомственных целевых программ соответствующим приложением, ссылка на которое включается в раздел, отражающий механизм реализации муниципальной программы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(подпрограммы), ведомственной целевой программы.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В проект решения о предоставлении бюджетных инвестиций может быть включено несколько объектов капитального строительства и (или) объектов недвижимого имущества одного хозяйственного общества, относящихся к одному мероприятию муниципальной программы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(подпрограммы), ведомственной целевой </w:t>
      </w:r>
      <w:r w:rsidRPr="001C4A92">
        <w:rPr>
          <w:rFonts w:ascii="Times New Roman" w:hAnsi="Times New Roman" w:cs="Times New Roman"/>
          <w:sz w:val="28"/>
          <w:szCs w:val="28"/>
        </w:rPr>
        <w:lastRenderedPageBreak/>
        <w:t>программы, одной сфере деятельности уполномоченного органа на приобретение акций (долей) хозяйственных обществ.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В проект решения о предоставлении бюджетных инвестиций включается объект капитального строительства и (или) объект недвижимого имущества,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 или интегральная оценка, числовое значение которой соответствует или превышает установленное предельное (минимальное) значение, равное 70 процентам, подготовленные в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случае необходимости в соответствии с постановлением администрации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от </w:t>
      </w:r>
      <w:r w:rsidR="00922C51">
        <w:rPr>
          <w:rFonts w:ascii="Times New Roman" w:hAnsi="Times New Roman" w:cs="Times New Roman"/>
          <w:sz w:val="28"/>
          <w:szCs w:val="28"/>
        </w:rPr>
        <w:t>_________ № ______</w:t>
      </w:r>
      <w:r w:rsidRPr="001C4A92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проектов на предмет эффективности использования средств бюджета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>, направляемых на капитальные вложения».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4.3. Проект решения о предоставлении бюджетных инвестиций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направление инвестирования (цель осуществления бюджетных инвестиций: 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наименование хозяйственного общества;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недвижимости;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работ) и (или) предполагаемая (предельная) стоимость приобретения объекта недвижимого имущества (с распределением по годам реализации инвестиций, предоставляемых в объекты капитального строительства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и (или) на приобретение объектов недвижимого имущества (в ценах соответствующих лет реализации);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lastRenderedPageBreak/>
        <w:t>общий (предельный) объем бюджетных инвестиций, предоставляемых в объекты капитального строительства, с выделением объема бюджетных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 и (или) на приобретение объекта недвижимого имущества, а также его распределение по годам реализации;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цели и задачи деятельности, на решение которых должна быть направлена деятельность представителей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хозяйственного общества в соответствии со </w:t>
      </w:r>
      <w:hyperlink r:id="rId8" w:history="1">
        <w:r w:rsidRPr="001C4A9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C4A92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конкуренции»;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величина приобретаемого </w:t>
      </w:r>
      <w:r w:rsidR="00C92B13">
        <w:rPr>
          <w:rFonts w:ascii="Times New Roman" w:hAnsi="Times New Roman" w:cs="Times New Roman"/>
          <w:sz w:val="28"/>
          <w:szCs w:val="28"/>
        </w:rPr>
        <w:t>Новосельским сельским поселением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пакета акций (долей) хозяйственного общества и цена покупки.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4.4. В проекте решения информация об объектах капитального строительства должна отображаться согласно приложению № 1 к настоящему Порядку, а информация об объектах недвижимого имущества - согласно приложению № 2 к настоящему Порядку.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5.1. Договор на предоставление бюджетных инвестиций хозяйственному обществу заключается на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администрации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хозяйственному обществу.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 xml:space="preserve">Договор на предоставление бюджетных инвестиций хозяйственному обществу оформляется в соответствии с нормативным правовым актом администрации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, утверждающим форму типового договора на предоставление бюджетных инвестиций юридическим лицам, не являющимся муниципальными учреждениями или муниципальными унитарными предприятиями в течение 3 месяцев после дня вступления в силу решения Совета </w:t>
      </w:r>
      <w:r w:rsidR="00922C51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1C4A92">
        <w:rPr>
          <w:rFonts w:ascii="Times New Roman" w:hAnsi="Times New Roman" w:cs="Times New Roman"/>
          <w:sz w:val="28"/>
          <w:szCs w:val="28"/>
        </w:rPr>
        <w:t xml:space="preserve"> о бюджете, предусматривающего соответствующее финансирование.</w:t>
      </w:r>
      <w:proofErr w:type="gramEnd"/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5.3. Внесение изменений в решение о предоставлении бюджетных инвестиций осуществляется в соответствии с правилами, установленными настоящим Порядком.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  <w:sectPr w:rsidR="00C92B13" w:rsidSect="00BA5258">
          <w:headerReference w:type="default" r:id="rId9"/>
          <w:pgSz w:w="11900" w:h="16800"/>
          <w:pgMar w:top="28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Колесников</w:t>
      </w:r>
    </w:p>
    <w:p w:rsidR="00444DA9" w:rsidRPr="001C4A92" w:rsidRDefault="00444DA9" w:rsidP="00C92B13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13DA" w:rsidRPr="001C4A92" w:rsidRDefault="00444DA9" w:rsidP="00C92B13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F573F3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 предоставлении бюджетных инвестиций юридическим лицам,</w:t>
      </w:r>
    </w:p>
    <w:p w:rsidR="00D913DA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не являющимся муниципальными учреждениями или муниципальными унитарными предприятиями, в объекты капитального строительства</w:t>
      </w:r>
      <w:r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End"/>
    </w:p>
    <w:p w:rsidR="00D913DA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находящиеся в собственности указанных юридических лиц,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 (или) на приобретение ими объектов недвижимого имущества </w:t>
      </w:r>
      <w:proofErr w:type="gramEnd"/>
    </w:p>
    <w:p w:rsidR="00444DA9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92B13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</w:p>
    <w:p w:rsidR="00F573F3" w:rsidRDefault="00F573F3" w:rsidP="00D913DA">
      <w:pPr>
        <w:pStyle w:val="ConsPlusNormal"/>
        <w:ind w:left="52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B13" w:rsidRPr="001C4A92" w:rsidRDefault="00C92B13" w:rsidP="00D913DA">
      <w:pPr>
        <w:pStyle w:val="ConsPlusNormal"/>
        <w:ind w:left="524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4"/>
      <w:bookmarkEnd w:id="5"/>
      <w:r w:rsidRPr="001C4A9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92">
        <w:rPr>
          <w:rFonts w:ascii="Times New Roman" w:hAnsi="Times New Roman" w:cs="Times New Roman"/>
          <w:b/>
          <w:sz w:val="28"/>
          <w:szCs w:val="28"/>
        </w:rPr>
        <w:t>информации об объекте капитального строительства</w:t>
      </w:r>
    </w:p>
    <w:p w:rsidR="00F573F3" w:rsidRPr="001C4A92" w:rsidRDefault="00F573F3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 согласно проектной</w:t>
      </w:r>
      <w:proofErr w:type="gramEnd"/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документации (или предполагаемое наименование объекта капитального</w:t>
      </w:r>
      <w:proofErr w:type="gramEnd"/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строительства - в случае отсутствия утвержденной </w:t>
      </w:r>
      <w:proofErr w:type="gramStart"/>
      <w:r w:rsidRPr="001C4A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4A92">
        <w:rPr>
          <w:rFonts w:ascii="Times New Roman" w:hAnsi="Times New Roman" w:cs="Times New Roman"/>
          <w:sz w:val="28"/>
          <w:szCs w:val="28"/>
        </w:rPr>
        <w:t xml:space="preserve"> установленном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проектной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документации на дату подготовки проекта решения)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18"/>
        <w:gridCol w:w="1418"/>
      </w:tblGrid>
      <w:tr w:rsidR="00444DA9" w:rsidRPr="001C4A92" w:rsidTr="002B7B8B">
        <w:tc>
          <w:tcPr>
            <w:tcW w:w="9560" w:type="dxa"/>
            <w:gridSpan w:val="3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444DA9" w:rsidRPr="001C4A92" w:rsidTr="002B7B8B">
        <w:trPr>
          <w:trHeight w:val="826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rPr>
          <w:trHeight w:val="76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общества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rPr>
          <w:trHeight w:val="295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rPr>
          <w:trHeight w:val="283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rPr>
          <w:trHeight w:val="748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деятельности, на решение которых направлена деятельность представителей </w:t>
            </w:r>
            <w:r w:rsidR="00922C51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управления хозяйственного общества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rPr>
          <w:trHeight w:val="28"/>
        </w:trPr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приобретаемого </w:t>
            </w:r>
            <w:r w:rsidR="00C92B13">
              <w:rPr>
                <w:rFonts w:ascii="Times New Roman" w:hAnsi="Times New Roman" w:cs="Times New Roman"/>
                <w:sz w:val="28"/>
                <w:szCs w:val="28"/>
              </w:rPr>
              <w:t>Новосельским сельским поселением Новокубанского района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 пакета акций (долей) 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хозяйственного общества и цена покупки</w:t>
            </w:r>
          </w:p>
        </w:tc>
        <w:tc>
          <w:tcPr>
            <w:tcW w:w="14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850"/>
        <w:gridCol w:w="1417"/>
        <w:gridCol w:w="1304"/>
        <w:gridCol w:w="1624"/>
        <w:gridCol w:w="737"/>
      </w:tblGrid>
      <w:tr w:rsidR="00444DA9" w:rsidRPr="001C4A92" w:rsidTr="002B7B8B">
        <w:tc>
          <w:tcPr>
            <w:tcW w:w="9538" w:type="dxa"/>
            <w:gridSpan w:val="6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из бюджета </w:t>
            </w:r>
            <w:r w:rsidR="00922C51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</w:tr>
      <w:tr w:rsidR="00444DA9" w:rsidRPr="001C4A92" w:rsidTr="002B7B8B">
        <w:tc>
          <w:tcPr>
            <w:tcW w:w="3606" w:type="dxa"/>
            <w:vMerge w:val="restart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gridSpan w:val="5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</w:tr>
      <w:tr w:rsidR="00444DA9" w:rsidRPr="001C4A92" w:rsidTr="002B7B8B">
        <w:tc>
          <w:tcPr>
            <w:tcW w:w="3606" w:type="dxa"/>
            <w:vMerge/>
          </w:tcPr>
          <w:p w:rsidR="00444DA9" w:rsidRPr="001C4A92" w:rsidRDefault="00444DA9" w:rsidP="00D913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4DA9" w:rsidRPr="001C4A92" w:rsidRDefault="00444DA9" w:rsidP="00C92B13">
            <w:pPr>
              <w:pStyle w:val="ConsPlusNormal"/>
              <w:tabs>
                <w:tab w:val="left" w:pos="284"/>
              </w:tabs>
              <w:ind w:left="-850" w:firstLine="7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44DA9" w:rsidRPr="001C4A92" w:rsidRDefault="00444DA9" w:rsidP="00C92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47"/>
            <w:bookmarkEnd w:id="6"/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1304" w:type="dxa"/>
          </w:tcPr>
          <w:p w:rsidR="00444DA9" w:rsidRPr="001C4A92" w:rsidRDefault="00444DA9" w:rsidP="00C92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624" w:type="dxa"/>
          </w:tcPr>
          <w:p w:rsidR="00444DA9" w:rsidRPr="001C4A92" w:rsidRDefault="00444DA9" w:rsidP="00C92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737" w:type="dxa"/>
          </w:tcPr>
          <w:p w:rsidR="00444DA9" w:rsidRPr="001C4A92" w:rsidRDefault="00444DA9" w:rsidP="00C92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444DA9" w:rsidRPr="001C4A92" w:rsidRDefault="00444DA9" w:rsidP="00C92B13">
            <w:pPr>
              <w:pStyle w:val="ConsPlusNormal"/>
              <w:ind w:left="-73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бюджетных инвестиций, предоставляемых на реализацию объекта капитального строительства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и проведение инженерных изысканий или 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прав на использование типовой проектной документации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606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строительно-монтажных работ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Примечание. Объем финансового обеспечения в </w:t>
      </w:r>
      <w:hyperlink w:anchor="P247" w:history="1">
        <w:r w:rsidRPr="001C4A92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1C4A92">
        <w:rPr>
          <w:rFonts w:ascii="Times New Roman" w:hAnsi="Times New Roman" w:cs="Times New Roman"/>
          <w:sz w:val="28"/>
          <w:szCs w:val="28"/>
        </w:rPr>
        <w:t xml:space="preserve"> «предшествующий период» отражается одной суммой без распределения по годам.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на приобретение акций (долей)</w:t>
      </w: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хозяйственных обществ            ____________________ _______________________</w:t>
      </w: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       (расшифровка подписи)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  <w:sectPr w:rsidR="00C92B13" w:rsidSect="00BA5258">
          <w:headerReference w:type="default" r:id="rId10"/>
          <w:pgSz w:w="11900" w:h="16800"/>
          <w:pgMar w:top="28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Колесников</w:t>
      </w:r>
    </w:p>
    <w:p w:rsidR="00444DA9" w:rsidRPr="001C4A92" w:rsidRDefault="00444DA9" w:rsidP="00C92B13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73F3" w:rsidRPr="001C4A92" w:rsidRDefault="00444DA9" w:rsidP="00C92B13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F573F3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о предоставлении бюджетных инвестиций юридическим лицам,</w:t>
      </w:r>
    </w:p>
    <w:p w:rsidR="00F573F3" w:rsidRPr="001C4A92" w:rsidRDefault="00444DA9" w:rsidP="00C92B1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92">
        <w:rPr>
          <w:rFonts w:ascii="Times New Roman" w:hAnsi="Times New Roman" w:cs="Times New Roman"/>
          <w:sz w:val="28"/>
          <w:szCs w:val="28"/>
        </w:rPr>
        <w:t>не являющимся муниципальными учреждениями или муниципальными унитарными предприятиями, в объекты капитального строительства</w:t>
      </w:r>
      <w:r w:rsidRPr="001C4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находящиеся в собственности указанных юридических лиц,</w:t>
      </w:r>
      <w:r w:rsidRPr="001C4A92">
        <w:rPr>
          <w:rFonts w:ascii="Times New Roman" w:hAnsi="Times New Roman" w:cs="Times New Roman"/>
          <w:sz w:val="28"/>
          <w:szCs w:val="28"/>
        </w:rPr>
        <w:t xml:space="preserve"> и (или) на приобретение ими объектов недвижимого имущества </w:t>
      </w:r>
      <w:proofErr w:type="gramEnd"/>
    </w:p>
    <w:p w:rsidR="00444DA9" w:rsidRPr="001C4A92" w:rsidRDefault="00444DA9" w:rsidP="00C92B13">
      <w:pPr>
        <w:tabs>
          <w:tab w:val="right" w:pos="0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92B13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</w:p>
    <w:p w:rsidR="00F573F3" w:rsidRPr="001C4A92" w:rsidRDefault="00F573F3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37"/>
      <w:bookmarkEnd w:id="7"/>
      <w:r w:rsidRPr="001C4A9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92">
        <w:rPr>
          <w:rFonts w:ascii="Times New Roman" w:hAnsi="Times New Roman" w:cs="Times New Roman"/>
          <w:b/>
          <w:sz w:val="28"/>
          <w:szCs w:val="28"/>
        </w:rPr>
        <w:t>информации об объекте недвижимого имущества</w:t>
      </w:r>
    </w:p>
    <w:p w:rsidR="00F573F3" w:rsidRPr="001C4A92" w:rsidRDefault="00F573F3" w:rsidP="00D913D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4DA9" w:rsidRPr="001C4A92" w:rsidRDefault="00444DA9" w:rsidP="00D913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имущества)</w:t>
      </w:r>
    </w:p>
    <w:p w:rsidR="00444DA9" w:rsidRPr="001C4A92" w:rsidRDefault="00444DA9" w:rsidP="00D913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18"/>
        <w:gridCol w:w="1559"/>
      </w:tblGrid>
      <w:tr w:rsidR="00444DA9" w:rsidRPr="001C4A92" w:rsidTr="002B7B8B">
        <w:tc>
          <w:tcPr>
            <w:tcW w:w="9701" w:type="dxa"/>
            <w:gridSpan w:val="3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общества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бюджетных инвестиций)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деятельности, на решение которых должна быть направлена деятельность представителей </w:t>
            </w:r>
            <w:r w:rsidR="00922C51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управления хозяйственного общества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приобретаемого </w:t>
            </w:r>
            <w:r w:rsidR="00922C51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 xml:space="preserve"> пакета акций (долей) хозяйственного общества и цена покупки</w:t>
            </w:r>
          </w:p>
        </w:tc>
        <w:tc>
          <w:tcPr>
            <w:tcW w:w="1559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850"/>
        <w:gridCol w:w="1417"/>
        <w:gridCol w:w="1304"/>
        <w:gridCol w:w="1624"/>
        <w:gridCol w:w="1388"/>
      </w:tblGrid>
      <w:tr w:rsidR="00444DA9" w:rsidRPr="001C4A92" w:rsidTr="002B7B8B">
        <w:tc>
          <w:tcPr>
            <w:tcW w:w="9701" w:type="dxa"/>
            <w:gridSpan w:val="6"/>
          </w:tcPr>
          <w:p w:rsidR="00444DA9" w:rsidRPr="001C4A92" w:rsidRDefault="00444DA9" w:rsidP="00C92B13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444DA9" w:rsidRPr="001C4A92" w:rsidTr="002B7B8B">
        <w:tc>
          <w:tcPr>
            <w:tcW w:w="3118" w:type="dxa"/>
            <w:vMerge w:val="restart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583" w:type="dxa"/>
            <w:gridSpan w:val="5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</w:tr>
      <w:tr w:rsidR="00444DA9" w:rsidRPr="001C4A92" w:rsidTr="002B7B8B">
        <w:tc>
          <w:tcPr>
            <w:tcW w:w="3118" w:type="dxa"/>
            <w:vMerge/>
          </w:tcPr>
          <w:p w:rsidR="00444DA9" w:rsidRPr="001C4A92" w:rsidRDefault="00444DA9" w:rsidP="00D913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4DA9" w:rsidRPr="001C4A92" w:rsidRDefault="00444DA9" w:rsidP="00C92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44DA9" w:rsidRPr="001C4A92" w:rsidRDefault="00444DA9" w:rsidP="00C92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66"/>
            <w:bookmarkEnd w:id="8"/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1304" w:type="dxa"/>
          </w:tcPr>
          <w:p w:rsidR="00444DA9" w:rsidRPr="001C4A92" w:rsidRDefault="00444DA9" w:rsidP="00C92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624" w:type="dxa"/>
          </w:tcPr>
          <w:p w:rsidR="00444DA9" w:rsidRPr="001C4A92" w:rsidRDefault="00444DA9" w:rsidP="00C92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88" w:type="dxa"/>
          </w:tcPr>
          <w:p w:rsidR="00444DA9" w:rsidRPr="001C4A92" w:rsidRDefault="00444DA9" w:rsidP="00C92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444DA9" w:rsidRPr="001C4A92" w:rsidTr="002B7B8B">
        <w:tc>
          <w:tcPr>
            <w:tcW w:w="31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A9" w:rsidRPr="001C4A92" w:rsidTr="002B7B8B">
        <w:tc>
          <w:tcPr>
            <w:tcW w:w="311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92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бюджетных инвестиций, предоставляемых на приобретение объекта недвижимого имущества</w:t>
            </w:r>
          </w:p>
        </w:tc>
        <w:tc>
          <w:tcPr>
            <w:tcW w:w="850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44DA9" w:rsidRPr="001C4A92" w:rsidRDefault="00444DA9" w:rsidP="00D91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Примечание. Объем финансового обеспечения в </w:t>
      </w:r>
      <w:hyperlink w:anchor="P366" w:history="1">
        <w:r w:rsidRPr="001C4A92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1C4A92">
        <w:rPr>
          <w:rFonts w:ascii="Times New Roman" w:hAnsi="Times New Roman" w:cs="Times New Roman"/>
          <w:sz w:val="28"/>
          <w:szCs w:val="28"/>
        </w:rPr>
        <w:t xml:space="preserve"> «предшествующий период» отражается одной суммой без распределения по годам.</w:t>
      </w:r>
    </w:p>
    <w:p w:rsidR="00444DA9" w:rsidRPr="001C4A92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на приобретение акций (долей)</w:t>
      </w:r>
    </w:p>
    <w:p w:rsidR="00444DA9" w:rsidRPr="001C4A92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>хозяйственных обществ ____________________ _______________________</w:t>
      </w:r>
    </w:p>
    <w:p w:rsidR="00444DA9" w:rsidRPr="00C92B13" w:rsidRDefault="00444DA9" w:rsidP="00D913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</w:t>
      </w:r>
      <w:r w:rsidRPr="00C92B13">
        <w:rPr>
          <w:rFonts w:ascii="Times New Roman" w:hAnsi="Times New Roman" w:cs="Times New Roman"/>
          <w:sz w:val="28"/>
          <w:szCs w:val="28"/>
        </w:rPr>
        <w:t>)           (расшифровка подписи)</w:t>
      </w:r>
    </w:p>
    <w:p w:rsidR="00444DA9" w:rsidRPr="00C92B13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DA9" w:rsidRPr="00C92B13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DA9" w:rsidRPr="00C92B13" w:rsidRDefault="00444DA9" w:rsidP="00D91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B13" w:rsidRP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</w:t>
      </w:r>
    </w:p>
    <w:p w:rsidR="00444DA9" w:rsidRPr="00C92B13" w:rsidRDefault="00C92B13" w:rsidP="00C92B13">
      <w:pPr>
        <w:tabs>
          <w:tab w:val="right" w:pos="9639"/>
        </w:tabs>
        <w:ind w:firstLine="0"/>
        <w:rPr>
          <w:rFonts w:ascii="Times New Roman" w:hAnsi="Times New Roman" w:cs="Times New Roman"/>
        </w:rPr>
      </w:pPr>
      <w:r w:rsidRPr="00C92B13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А.Е. Колесников</w:t>
      </w:r>
    </w:p>
    <w:sectPr w:rsidR="00444DA9" w:rsidRPr="00C92B13" w:rsidSect="001C4A9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98" w:rsidRDefault="00B13298" w:rsidP="00F00A40">
      <w:r>
        <w:separator/>
      </w:r>
    </w:p>
  </w:endnote>
  <w:endnote w:type="continuationSeparator" w:id="0">
    <w:p w:rsidR="00B13298" w:rsidRDefault="00B13298" w:rsidP="00F0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98" w:rsidRDefault="00B13298" w:rsidP="00F00A40">
      <w:r>
        <w:separator/>
      </w:r>
    </w:p>
  </w:footnote>
  <w:footnote w:type="continuationSeparator" w:id="0">
    <w:p w:rsidR="00B13298" w:rsidRDefault="00B13298" w:rsidP="00F0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92" w:rsidRPr="00850AF6" w:rsidRDefault="00AB14A5" w:rsidP="00AE02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50AF6">
      <w:rPr>
        <w:rFonts w:ascii="Times New Roman" w:hAnsi="Times New Roman" w:cs="Times New Roman"/>
        <w:sz w:val="28"/>
        <w:szCs w:val="28"/>
      </w:rPr>
      <w:fldChar w:fldCharType="begin"/>
    </w:r>
    <w:r w:rsidR="001C4A92" w:rsidRPr="00850AF6">
      <w:rPr>
        <w:rFonts w:ascii="Times New Roman" w:hAnsi="Times New Roman" w:cs="Times New Roman"/>
        <w:sz w:val="28"/>
        <w:szCs w:val="28"/>
      </w:rPr>
      <w:instrText>PAGE   \* MERGEFORMAT</w:instrText>
    </w:r>
    <w:r w:rsidRPr="00850AF6">
      <w:rPr>
        <w:rFonts w:ascii="Times New Roman" w:hAnsi="Times New Roman" w:cs="Times New Roman"/>
        <w:sz w:val="28"/>
        <w:szCs w:val="28"/>
      </w:rPr>
      <w:fldChar w:fldCharType="separate"/>
    </w:r>
    <w:r w:rsidR="001C4A92">
      <w:rPr>
        <w:rFonts w:ascii="Times New Roman" w:hAnsi="Times New Roman" w:cs="Times New Roman"/>
        <w:noProof/>
        <w:sz w:val="28"/>
        <w:szCs w:val="28"/>
      </w:rPr>
      <w:t>3</w:t>
    </w:r>
    <w:r w:rsidRPr="00850AF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Pr="00850AF6" w:rsidRDefault="00AB14A5" w:rsidP="00AE02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50AF6">
      <w:rPr>
        <w:rFonts w:ascii="Times New Roman" w:hAnsi="Times New Roman" w:cs="Times New Roman"/>
        <w:sz w:val="28"/>
        <w:szCs w:val="28"/>
      </w:rPr>
      <w:fldChar w:fldCharType="begin"/>
    </w:r>
    <w:r w:rsidR="00C92B13" w:rsidRPr="00850AF6">
      <w:rPr>
        <w:rFonts w:ascii="Times New Roman" w:hAnsi="Times New Roman" w:cs="Times New Roman"/>
        <w:sz w:val="28"/>
        <w:szCs w:val="28"/>
      </w:rPr>
      <w:instrText>PAGE   \* MERGEFORMAT</w:instrText>
    </w:r>
    <w:r w:rsidRPr="00850AF6">
      <w:rPr>
        <w:rFonts w:ascii="Times New Roman" w:hAnsi="Times New Roman" w:cs="Times New Roman"/>
        <w:sz w:val="28"/>
        <w:szCs w:val="28"/>
      </w:rPr>
      <w:fldChar w:fldCharType="separate"/>
    </w:r>
    <w:r w:rsidR="00C33E62">
      <w:rPr>
        <w:rFonts w:ascii="Times New Roman" w:hAnsi="Times New Roman" w:cs="Times New Roman"/>
        <w:noProof/>
        <w:sz w:val="28"/>
        <w:szCs w:val="28"/>
      </w:rPr>
      <w:t>11</w:t>
    </w:r>
    <w:r w:rsidRPr="00850AF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Pr="00850AF6" w:rsidRDefault="00AB14A5" w:rsidP="00AE02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50AF6">
      <w:rPr>
        <w:rFonts w:ascii="Times New Roman" w:hAnsi="Times New Roman" w:cs="Times New Roman"/>
        <w:sz w:val="28"/>
        <w:szCs w:val="28"/>
      </w:rPr>
      <w:fldChar w:fldCharType="begin"/>
    </w:r>
    <w:r w:rsidR="00C92B13" w:rsidRPr="00850AF6">
      <w:rPr>
        <w:rFonts w:ascii="Times New Roman" w:hAnsi="Times New Roman" w:cs="Times New Roman"/>
        <w:sz w:val="28"/>
        <w:szCs w:val="28"/>
      </w:rPr>
      <w:instrText>PAGE   \* MERGEFORMAT</w:instrText>
    </w:r>
    <w:r w:rsidRPr="00850AF6">
      <w:rPr>
        <w:rFonts w:ascii="Times New Roman" w:hAnsi="Times New Roman" w:cs="Times New Roman"/>
        <w:sz w:val="28"/>
        <w:szCs w:val="28"/>
      </w:rPr>
      <w:fldChar w:fldCharType="separate"/>
    </w:r>
    <w:r w:rsidR="00C33E62">
      <w:rPr>
        <w:rFonts w:ascii="Times New Roman" w:hAnsi="Times New Roman" w:cs="Times New Roman"/>
        <w:noProof/>
        <w:sz w:val="28"/>
        <w:szCs w:val="28"/>
      </w:rPr>
      <w:t>14</w:t>
    </w:r>
    <w:r w:rsidRPr="00850AF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40" w:rsidRDefault="00F00A40">
    <w:pPr>
      <w:pStyle w:val="a5"/>
      <w:jc w:val="center"/>
    </w:pPr>
  </w:p>
  <w:p w:rsidR="00F00A40" w:rsidRDefault="00F00A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60C"/>
    <w:multiLevelType w:val="hybridMultilevel"/>
    <w:tmpl w:val="9DD22DEA"/>
    <w:lvl w:ilvl="0" w:tplc="B23E6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2F"/>
    <w:rsid w:val="00046942"/>
    <w:rsid w:val="00065F28"/>
    <w:rsid w:val="00093E27"/>
    <w:rsid w:val="000A6A03"/>
    <w:rsid w:val="000D080E"/>
    <w:rsid w:val="001105E1"/>
    <w:rsid w:val="001226A0"/>
    <w:rsid w:val="001C4A92"/>
    <w:rsid w:val="001E3CFC"/>
    <w:rsid w:val="00213D17"/>
    <w:rsid w:val="00285812"/>
    <w:rsid w:val="0030766B"/>
    <w:rsid w:val="003F4C70"/>
    <w:rsid w:val="00443B56"/>
    <w:rsid w:val="00444DA9"/>
    <w:rsid w:val="004B400D"/>
    <w:rsid w:val="004F40DB"/>
    <w:rsid w:val="00500C04"/>
    <w:rsid w:val="00534936"/>
    <w:rsid w:val="005417E2"/>
    <w:rsid w:val="005A5D74"/>
    <w:rsid w:val="005E3A7E"/>
    <w:rsid w:val="006B69BE"/>
    <w:rsid w:val="0074257A"/>
    <w:rsid w:val="007C4EA3"/>
    <w:rsid w:val="00841CCE"/>
    <w:rsid w:val="00893E89"/>
    <w:rsid w:val="008B4EA5"/>
    <w:rsid w:val="00900790"/>
    <w:rsid w:val="00922C51"/>
    <w:rsid w:val="009C0E50"/>
    <w:rsid w:val="009D582B"/>
    <w:rsid w:val="009D6765"/>
    <w:rsid w:val="009E3C81"/>
    <w:rsid w:val="00A62BC7"/>
    <w:rsid w:val="00AB14A5"/>
    <w:rsid w:val="00AB25FC"/>
    <w:rsid w:val="00B0512B"/>
    <w:rsid w:val="00B13298"/>
    <w:rsid w:val="00B424CC"/>
    <w:rsid w:val="00B9292F"/>
    <w:rsid w:val="00BB5D27"/>
    <w:rsid w:val="00BF6728"/>
    <w:rsid w:val="00C33E62"/>
    <w:rsid w:val="00C37838"/>
    <w:rsid w:val="00C6696F"/>
    <w:rsid w:val="00C92B13"/>
    <w:rsid w:val="00D84CFC"/>
    <w:rsid w:val="00D913DA"/>
    <w:rsid w:val="00E4307F"/>
    <w:rsid w:val="00E92201"/>
    <w:rsid w:val="00EA308A"/>
    <w:rsid w:val="00F00A40"/>
    <w:rsid w:val="00F5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A9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D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7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00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A4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0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A4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1C4A9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C90F0F8C80E66BD966D85A223313034DB73D06B1FD7265A676F565FF044BD21830302f5i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Лена</cp:lastModifiedBy>
  <cp:revision>6</cp:revision>
  <cp:lastPrinted>2018-06-05T14:08:00Z</cp:lastPrinted>
  <dcterms:created xsi:type="dcterms:W3CDTF">2018-08-22T10:37:00Z</dcterms:created>
  <dcterms:modified xsi:type="dcterms:W3CDTF">2018-08-22T11:56:00Z</dcterms:modified>
</cp:coreProperties>
</file>